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C8747">
      <w:pPr>
        <w:jc w:val="left"/>
        <w:rPr>
          <w:rFonts w:cs="宋体"/>
          <w:b/>
          <w:sz w:val="32"/>
          <w:szCs w:val="36"/>
          <w:lang w:bidi="ar"/>
        </w:rPr>
      </w:pPr>
      <w:bookmarkStart w:id="0" w:name="_Toc417895952"/>
      <w:bookmarkStart w:id="1" w:name="_Toc417896502"/>
      <w:bookmarkStart w:id="2" w:name="_Toc417896685"/>
      <w:bookmarkStart w:id="3" w:name="_Toc416703361"/>
      <w:bookmarkStart w:id="4" w:name="_Toc416702955"/>
      <w:r>
        <w:rPr>
          <w:rFonts w:hint="eastAsia" w:ascii="宋体" w:hAnsi="宋体" w:cs="宋体"/>
          <w:b/>
          <w:sz w:val="36"/>
          <w:szCs w:val="36"/>
        </w:rPr>
        <w:t>项目名称：</w:t>
      </w:r>
      <w:bookmarkStart w:id="82" w:name="_GoBack"/>
      <w:r>
        <w:rPr>
          <w:rFonts w:hint="eastAsia" w:cs="宋体"/>
          <w:b/>
          <w:sz w:val="32"/>
          <w:szCs w:val="36"/>
          <w:u w:val="single"/>
          <w:lang w:bidi="ar"/>
        </w:rPr>
        <w:t>H05B线冷修技改项目</w:t>
      </w:r>
      <w:r>
        <w:rPr>
          <w:rFonts w:hint="eastAsia" w:cs="宋体"/>
          <w:b/>
          <w:sz w:val="32"/>
          <w:szCs w:val="36"/>
          <w:lang w:bidi="ar"/>
        </w:rPr>
        <w:t>建筑安装工程</w:t>
      </w:r>
      <w:bookmarkEnd w:id="82"/>
    </w:p>
    <w:p w14:paraId="0D377736">
      <w:pPr>
        <w:ind w:left="1807" w:hanging="1807" w:hangingChars="500"/>
        <w:rPr>
          <w:rFonts w:hint="eastAsia" w:ascii="宋体" w:hAnsi="宋体" w:cs="宋体"/>
          <w:b/>
          <w:sz w:val="36"/>
          <w:szCs w:val="36"/>
        </w:rPr>
      </w:pPr>
      <w:r>
        <w:rPr>
          <w:rFonts w:hint="eastAsia" w:ascii="宋体" w:hAnsi="宋体" w:cs="宋体"/>
          <w:b/>
          <w:sz w:val="36"/>
          <w:szCs w:val="36"/>
        </w:rPr>
        <w:t>采购编号：</w:t>
      </w:r>
    </w:p>
    <w:bookmarkEnd w:id="0"/>
    <w:bookmarkEnd w:id="1"/>
    <w:bookmarkEnd w:id="2"/>
    <w:bookmarkEnd w:id="3"/>
    <w:bookmarkEnd w:id="4"/>
    <w:p w14:paraId="1FC625E5">
      <w:pPr>
        <w:rPr>
          <w:rFonts w:hint="eastAsia" w:ascii="宋体" w:hAnsi="宋体"/>
        </w:rPr>
      </w:pPr>
    </w:p>
    <w:p w14:paraId="7F1475BC">
      <w:pPr>
        <w:spacing w:line="360" w:lineRule="auto"/>
        <w:jc w:val="center"/>
        <w:rPr>
          <w:rFonts w:hint="eastAsia" w:ascii="宋体" w:hAnsi="宋体"/>
          <w:b/>
          <w:bCs/>
          <w:sz w:val="128"/>
          <w:szCs w:val="128"/>
        </w:rPr>
      </w:pPr>
    </w:p>
    <w:p w14:paraId="5A1EAD0A">
      <w:pPr>
        <w:spacing w:line="360" w:lineRule="auto"/>
        <w:jc w:val="center"/>
        <w:rPr>
          <w:rFonts w:hint="eastAsia" w:ascii="宋体" w:hAnsi="宋体"/>
          <w:b/>
          <w:bCs/>
          <w:sz w:val="96"/>
          <w:szCs w:val="120"/>
        </w:rPr>
      </w:pPr>
      <w:r>
        <w:rPr>
          <w:rFonts w:hint="eastAsia" w:ascii="宋体" w:hAnsi="宋体"/>
          <w:b/>
          <w:bCs/>
          <w:sz w:val="96"/>
          <w:szCs w:val="120"/>
        </w:rPr>
        <w:t>竞争性谈判文件</w:t>
      </w:r>
    </w:p>
    <w:p w14:paraId="03D7056E">
      <w:pPr>
        <w:rPr>
          <w:rFonts w:hint="eastAsia" w:ascii="宋体" w:hAnsi="宋体"/>
          <w:b/>
          <w:bCs/>
          <w:szCs w:val="21"/>
        </w:rPr>
      </w:pPr>
    </w:p>
    <w:p w14:paraId="55E1EDBF">
      <w:pPr>
        <w:rPr>
          <w:rFonts w:hint="eastAsia" w:ascii="宋体" w:hAnsi="宋体"/>
          <w:b/>
          <w:bCs/>
          <w:szCs w:val="21"/>
        </w:rPr>
      </w:pPr>
    </w:p>
    <w:p w14:paraId="11F354BF">
      <w:pPr>
        <w:autoSpaceDE w:val="0"/>
        <w:autoSpaceDN w:val="0"/>
        <w:adjustRightInd w:val="0"/>
        <w:snapToGrid w:val="0"/>
        <w:spacing w:line="360" w:lineRule="auto"/>
        <w:jc w:val="left"/>
        <w:rPr>
          <w:rFonts w:hint="eastAsia" w:ascii="宋体" w:hAnsi="宋体" w:cs="宋体"/>
          <w:b/>
          <w:bCs/>
          <w:sz w:val="36"/>
          <w:szCs w:val="36"/>
        </w:rPr>
      </w:pPr>
      <w:bookmarkStart w:id="5" w:name="_Toc230773922"/>
    </w:p>
    <w:p w14:paraId="7B4183EC">
      <w:pPr>
        <w:autoSpaceDE w:val="0"/>
        <w:autoSpaceDN w:val="0"/>
        <w:adjustRightInd w:val="0"/>
        <w:snapToGrid w:val="0"/>
        <w:spacing w:line="360" w:lineRule="auto"/>
        <w:jc w:val="center"/>
        <w:rPr>
          <w:rFonts w:hint="eastAsia"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2BEFEF4B">
      <w:pPr>
        <w:autoSpaceDE w:val="0"/>
        <w:autoSpaceDN w:val="0"/>
        <w:adjustRightInd w:val="0"/>
        <w:snapToGrid w:val="0"/>
        <w:spacing w:line="360" w:lineRule="auto"/>
        <w:jc w:val="center"/>
        <w:rPr>
          <w:rFonts w:hint="eastAsia" w:ascii="宋体" w:hAnsi="宋体" w:cs="宋体"/>
          <w:kern w:val="0"/>
          <w:sz w:val="20"/>
          <w:szCs w:val="20"/>
        </w:rPr>
      </w:pPr>
    </w:p>
    <w:p w14:paraId="40E65674">
      <w:pPr>
        <w:tabs>
          <w:tab w:val="left" w:pos="3200"/>
          <w:tab w:val="left" w:pos="4320"/>
          <w:tab w:val="left" w:pos="5420"/>
        </w:tabs>
        <w:autoSpaceDE w:val="0"/>
        <w:autoSpaceDN w:val="0"/>
        <w:adjustRightInd w:val="0"/>
        <w:snapToGrid w:val="0"/>
        <w:spacing w:line="360" w:lineRule="auto"/>
        <w:jc w:val="center"/>
        <w:rPr>
          <w:rFonts w:hint="eastAsia" w:ascii="宋体" w:hAnsi="宋体" w:cs="宋体"/>
          <w:b/>
          <w:w w:val="95"/>
          <w:kern w:val="0"/>
          <w:sz w:val="32"/>
          <w:szCs w:val="32"/>
        </w:rPr>
      </w:pPr>
      <w:r>
        <w:rPr>
          <w:rFonts w:hint="eastAsia" w:ascii="宋体" w:hAnsi="宋体" w:cs="宋体"/>
          <w:b/>
          <w:w w:val="95"/>
          <w:kern w:val="0"/>
          <w:sz w:val="32"/>
          <w:szCs w:val="32"/>
        </w:rPr>
        <w:t xml:space="preserve">  二○二五年　十二　月</w:t>
      </w:r>
    </w:p>
    <w:p w14:paraId="6102F731"/>
    <w:p w14:paraId="160A6E2A"/>
    <w:p w14:paraId="7DE4F61C"/>
    <w:p w14:paraId="79604CD6">
      <w:pPr>
        <w:ind w:firstLine="2560" w:firstLineChars="800"/>
        <w:rPr>
          <w:sz w:val="32"/>
          <w:szCs w:val="32"/>
        </w:rPr>
      </w:pPr>
    </w:p>
    <w:p w14:paraId="4C892FFA">
      <w:pPr>
        <w:ind w:firstLine="2560" w:firstLineChars="800"/>
        <w:rPr>
          <w:sz w:val="32"/>
          <w:szCs w:val="32"/>
        </w:rPr>
      </w:pPr>
    </w:p>
    <w:p w14:paraId="75044C16">
      <w:pPr>
        <w:ind w:firstLine="2560" w:firstLineChars="800"/>
        <w:rPr>
          <w:sz w:val="32"/>
          <w:szCs w:val="32"/>
        </w:rPr>
      </w:pPr>
    </w:p>
    <w:p w14:paraId="230D76A1">
      <w:pPr>
        <w:ind w:firstLine="2560" w:firstLineChars="800"/>
        <w:rPr>
          <w:sz w:val="32"/>
          <w:szCs w:val="32"/>
        </w:rPr>
      </w:pPr>
    </w:p>
    <w:p w14:paraId="29A596E0">
      <w:pPr>
        <w:ind w:firstLine="2560" w:firstLineChars="800"/>
        <w:rPr>
          <w:sz w:val="32"/>
          <w:szCs w:val="32"/>
        </w:rPr>
      </w:pPr>
    </w:p>
    <w:p w14:paraId="0CF4B0D6">
      <w:pPr>
        <w:ind w:firstLine="2560" w:firstLineChars="800"/>
        <w:rPr>
          <w:sz w:val="32"/>
          <w:szCs w:val="32"/>
        </w:rPr>
      </w:pPr>
    </w:p>
    <w:p w14:paraId="4704EBE5">
      <w:pPr>
        <w:ind w:firstLine="2560" w:firstLineChars="800"/>
        <w:rPr>
          <w:sz w:val="32"/>
          <w:szCs w:val="32"/>
        </w:rPr>
      </w:pPr>
    </w:p>
    <w:p w14:paraId="06CC7A1E">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cs="宋体"/>
          <w:b/>
          <w:w w:val="95"/>
          <w:kern w:val="0"/>
          <w:sz w:val="32"/>
          <w:szCs w:val="32"/>
        </w:rPr>
      </w:pPr>
    </w:p>
    <w:p w14:paraId="341911DD">
      <w:pPr>
        <w:ind w:firstLine="954"/>
        <w:rPr>
          <w:rFonts w:hint="eastAsia" w:ascii="宋体" w:hAnsi="宋体" w:cs="宋体"/>
          <w:sz w:val="32"/>
          <w:szCs w:val="32"/>
          <w:u w:val="single"/>
        </w:rPr>
      </w:pPr>
      <w:r>
        <w:rPr>
          <w:rFonts w:hint="eastAsia" w:ascii="宋体" w:hAnsi="宋体" w:cs="宋体"/>
          <w:sz w:val="32"/>
          <w:szCs w:val="32"/>
        </w:rPr>
        <w:t>编制：</w:t>
      </w:r>
      <w:r>
        <w:rPr>
          <w:rFonts w:hint="eastAsia" w:ascii="宋体" w:hAnsi="宋体" w:cs="宋体"/>
          <w:sz w:val="32"/>
          <w:szCs w:val="32"/>
          <w:u w:val="single"/>
        </w:rPr>
        <w:t xml:space="preserve">             </w:t>
      </w:r>
      <w:r>
        <w:rPr>
          <w:rFonts w:hint="eastAsia" w:ascii="宋体" w:hAnsi="宋体" w:cs="宋体"/>
          <w:sz w:val="32"/>
          <w:szCs w:val="32"/>
        </w:rPr>
        <w:t xml:space="preserve">  审核：</w:t>
      </w:r>
      <w:r>
        <w:rPr>
          <w:rFonts w:hint="eastAsia" w:ascii="宋体" w:hAnsi="宋体" w:cs="宋体"/>
          <w:sz w:val="32"/>
          <w:szCs w:val="32"/>
          <w:u w:val="single"/>
        </w:rPr>
        <w:t xml:space="preserve">                </w:t>
      </w:r>
    </w:p>
    <w:p w14:paraId="7C11F615">
      <w:pPr>
        <w:ind w:firstLine="954"/>
        <w:rPr>
          <w:rFonts w:hint="eastAsia" w:ascii="宋体" w:hAnsi="宋体" w:cs="宋体"/>
          <w:sz w:val="32"/>
          <w:szCs w:val="32"/>
          <w:u w:val="single"/>
        </w:rPr>
      </w:pPr>
    </w:p>
    <w:p w14:paraId="6FB0AB90">
      <w:pPr>
        <w:pStyle w:val="60"/>
        <w:jc w:val="center"/>
        <w:rPr>
          <w:rFonts w:hint="eastAsia"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41B83116">
      <w:pPr>
        <w:pStyle w:val="14"/>
        <w:numPr>
          <w:ilvl w:val="0"/>
          <w:numId w:val="1"/>
        </w:numPr>
        <w:spacing w:line="520" w:lineRule="exact"/>
        <w:rPr>
          <w:rFonts w:hint="eastAsia"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2E560AD7">
      <w:pPr>
        <w:pStyle w:val="14"/>
        <w:spacing w:line="520" w:lineRule="exact"/>
        <w:rPr>
          <w:rFonts w:hint="eastAsia"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29C771EE">
      <w:pPr>
        <w:spacing w:line="520" w:lineRule="exact"/>
        <w:rPr>
          <w:rFonts w:hint="eastAsia"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09D47587">
      <w:pPr>
        <w:spacing w:line="520" w:lineRule="exact"/>
        <w:rPr>
          <w:rFonts w:hint="eastAsia"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1F0BFE53">
      <w:pPr>
        <w:rPr>
          <w:rFonts w:hint="eastAsia" w:ascii="宋体" w:hAnsi="宋体"/>
          <w:b/>
          <w:sz w:val="28"/>
          <w:szCs w:val="28"/>
        </w:rPr>
      </w:pPr>
    </w:p>
    <w:p w14:paraId="08013E66">
      <w:pPr>
        <w:rPr>
          <w:rFonts w:hint="eastAsia" w:ascii="宋体" w:hAnsi="宋体"/>
          <w:b/>
          <w:sz w:val="28"/>
          <w:szCs w:val="28"/>
        </w:rPr>
      </w:pPr>
    </w:p>
    <w:p w14:paraId="1CB628D6">
      <w:pPr>
        <w:widowControl/>
        <w:jc w:val="left"/>
        <w:rPr>
          <w:rFonts w:hint="eastAsia" w:ascii="宋体" w:hAnsi="宋体"/>
          <w:b/>
          <w:sz w:val="28"/>
          <w:szCs w:val="28"/>
        </w:rPr>
      </w:pPr>
      <w:r>
        <w:rPr>
          <w:rFonts w:ascii="宋体" w:hAnsi="宋体"/>
          <w:b/>
          <w:sz w:val="28"/>
          <w:szCs w:val="28"/>
        </w:rPr>
        <w:br w:type="page"/>
      </w:r>
    </w:p>
    <w:bookmarkEnd w:id="5"/>
    <w:p w14:paraId="6766630F">
      <w:pPr>
        <w:pStyle w:val="3"/>
        <w:spacing w:before="240" w:beforeLines="100" w:after="360" w:afterLines="150" w:line="276" w:lineRule="auto"/>
        <w:jc w:val="center"/>
        <w:rPr>
          <w:rFonts w:hint="eastAsia" w:ascii="宋体" w:hAnsi="宋体"/>
          <w:b w:val="0"/>
        </w:rPr>
      </w:pPr>
      <w:r>
        <w:rPr>
          <w:rFonts w:ascii="宋体" w:hAnsi="宋体"/>
        </w:rPr>
        <w:t xml:space="preserve">第一章 </w:t>
      </w:r>
      <w:r>
        <w:rPr>
          <w:rFonts w:hint="eastAsia" w:ascii="宋体" w:hAnsi="宋体"/>
        </w:rPr>
        <w:t>竞争性谈判公告</w:t>
      </w:r>
    </w:p>
    <w:p w14:paraId="7B520751">
      <w:pPr>
        <w:jc w:val="center"/>
        <w:rPr>
          <w:rFonts w:hint="eastAsia" w:ascii="宋体" w:hAnsi="宋体"/>
          <w:sz w:val="32"/>
          <w:szCs w:val="32"/>
        </w:rPr>
      </w:pPr>
      <w:bookmarkStart w:id="6" w:name="_Toc415675120"/>
      <w:bookmarkStart w:id="7" w:name="OLE_LINK4"/>
      <w:bookmarkStart w:id="8" w:name="_Toc415675642"/>
      <w:bookmarkStart w:id="9" w:name="OLE_LINK7"/>
      <w:bookmarkStart w:id="10" w:name="_Toc440556695"/>
      <w:bookmarkStart w:id="11" w:name="OLE_LINK1"/>
      <w:r>
        <w:rPr>
          <w:rFonts w:hint="eastAsia" w:cs="宋体"/>
          <w:b/>
          <w:sz w:val="32"/>
          <w:szCs w:val="36"/>
          <w:lang w:bidi="ar"/>
        </w:rPr>
        <w:t>H05B线冷修技改项目建筑安装工程</w:t>
      </w:r>
      <w:r>
        <w:rPr>
          <w:rFonts w:hint="eastAsia" w:ascii="宋体" w:hAnsi="宋体" w:cs="宋体"/>
          <w:b/>
          <w:sz w:val="32"/>
          <w:szCs w:val="32"/>
          <w:lang w:bidi="ar"/>
        </w:rPr>
        <w:t>竞争性谈判</w:t>
      </w:r>
      <w:r>
        <w:rPr>
          <w:rFonts w:hint="eastAsia" w:ascii="宋体" w:hAnsi="宋体" w:cs="宋体"/>
          <w:b/>
          <w:sz w:val="32"/>
          <w:szCs w:val="32"/>
        </w:rPr>
        <w:t>采购</w:t>
      </w:r>
    </w:p>
    <w:p w14:paraId="68103D12">
      <w:pPr>
        <w:spacing w:line="360" w:lineRule="auto"/>
        <w:jc w:val="left"/>
        <w:outlineLvl w:val="0"/>
        <w:rPr>
          <w:rFonts w:hint="eastAsia" w:ascii="宋体" w:hAnsi="宋体"/>
          <w:b/>
          <w:snapToGrid w:val="0"/>
          <w:kern w:val="0"/>
          <w:sz w:val="28"/>
          <w:szCs w:val="28"/>
        </w:rPr>
      </w:pPr>
      <w:bookmarkStart w:id="12" w:name="_Toc16466"/>
      <w:bookmarkStart w:id="13" w:name="_Toc10497"/>
      <w:bookmarkStart w:id="14" w:name="_Toc14729"/>
      <w:bookmarkStart w:id="15" w:name="_Toc27508"/>
      <w:bookmarkStart w:id="16" w:name="_Toc29382"/>
      <w:bookmarkStart w:id="17" w:name="_Toc844"/>
      <w:bookmarkStart w:id="18" w:name="_Toc26356"/>
      <w:bookmarkStart w:id="19" w:name="_Toc5554"/>
      <w:bookmarkStart w:id="20" w:name="_Toc4962"/>
      <w:bookmarkStart w:id="21" w:name="_Toc30279"/>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6727640B">
      <w:pPr>
        <w:spacing w:line="360" w:lineRule="auto"/>
        <w:ind w:firstLine="413" w:firstLineChars="197"/>
        <w:jc w:val="left"/>
        <w:outlineLvl w:val="0"/>
        <w:rPr>
          <w:rFonts w:hint="eastAsia"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kern w:val="0"/>
          <w:szCs w:val="21"/>
          <w:u w:val="single"/>
          <w:lang w:bidi="ar"/>
        </w:rPr>
        <w:t>H05B线冷修技改项目建筑安装工程</w:t>
      </w:r>
      <w:r>
        <w:rPr>
          <w:rFonts w:hint="eastAsia" w:ascii="宋体" w:hAnsi="宋体" w:cs="宋体"/>
          <w:b/>
          <w:szCs w:val="21"/>
          <w:u w:val="single"/>
        </w:rPr>
        <w:t>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b/>
          <w:kern w:val="0"/>
          <w:szCs w:val="21"/>
          <w:u w:val="single"/>
          <w:lang w:bidi="ar"/>
        </w:rPr>
        <w:t>H05B线冷修技改项目建筑安装工程</w:t>
      </w:r>
      <w:r>
        <w:rPr>
          <w:rFonts w:hint="eastAsia" w:ascii="宋体" w:hAnsi="宋体" w:cs="宋体"/>
          <w:kern w:val="0"/>
          <w:szCs w:val="21"/>
        </w:rPr>
        <w:t>进行公开竞争性谈判，特邀有兴趣的潜在单位参与竞争性谈判。</w:t>
      </w:r>
    </w:p>
    <w:p w14:paraId="3BECB385">
      <w:pPr>
        <w:spacing w:line="440" w:lineRule="exact"/>
        <w:jc w:val="left"/>
        <w:outlineLvl w:val="0"/>
        <w:rPr>
          <w:rFonts w:hint="eastAsia" w:ascii="宋体" w:hAnsi="宋体"/>
          <w:b/>
          <w:snapToGrid w:val="0"/>
          <w:kern w:val="0"/>
          <w:szCs w:val="21"/>
        </w:rPr>
      </w:pPr>
      <w:bookmarkStart w:id="22" w:name="_Toc6552"/>
      <w:bookmarkStart w:id="23" w:name="_Toc19590"/>
      <w:bookmarkStart w:id="24" w:name="_Toc31685"/>
      <w:bookmarkStart w:id="25" w:name="_Toc18911"/>
      <w:bookmarkStart w:id="26" w:name="_Toc8077"/>
      <w:bookmarkStart w:id="27" w:name="_Toc24224"/>
      <w:bookmarkStart w:id="28" w:name="_Toc29348"/>
      <w:bookmarkStart w:id="29" w:name="_Toc16188"/>
      <w:bookmarkStart w:id="30" w:name="_Toc20027"/>
      <w:bookmarkStart w:id="31" w:name="_Toc17916"/>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235587C6">
      <w:pPr>
        <w:widowControl/>
        <w:tabs>
          <w:tab w:val="left" w:pos="8208"/>
          <w:tab w:val="left" w:pos="9072"/>
        </w:tabs>
        <w:suppressAutoHyphens/>
        <w:spacing w:line="440" w:lineRule="exact"/>
        <w:rPr>
          <w:rFonts w:hint="eastAsia" w:ascii="宋体" w:hAnsi="宋体" w:cs="宋体"/>
          <w:bCs/>
          <w:kern w:val="0"/>
          <w:szCs w:val="21"/>
          <w:u w:val="single"/>
        </w:rPr>
      </w:pPr>
      <w:r>
        <w:rPr>
          <w:rFonts w:hint="eastAsia" w:ascii="宋体" w:hAnsi="宋体" w:cs="宋体"/>
          <w:kern w:val="0"/>
          <w:szCs w:val="21"/>
        </w:rPr>
        <w:t>2.1 项目名称：</w:t>
      </w:r>
      <w:r>
        <w:rPr>
          <w:rFonts w:hint="eastAsia" w:ascii="宋体" w:hAnsi="宋体" w:cs="宋体"/>
          <w:kern w:val="0"/>
          <w:szCs w:val="21"/>
          <w:u w:val="single"/>
          <w:lang w:bidi="ar"/>
        </w:rPr>
        <w:t xml:space="preserve"> H05B线冷修技改项目</w:t>
      </w:r>
    </w:p>
    <w:p w14:paraId="03F95212">
      <w:pPr>
        <w:topLinePunct/>
        <w:adjustRightInd w:val="0"/>
        <w:snapToGrid w:val="0"/>
        <w:spacing w:line="440" w:lineRule="exact"/>
        <w:rPr>
          <w:rFonts w:hint="eastAsia" w:ascii="宋体" w:hAnsi="宋体" w:cs="宋体"/>
          <w:szCs w:val="21"/>
          <w:lang w:bidi="ar"/>
        </w:rPr>
      </w:pPr>
      <w:r>
        <w:rPr>
          <w:rFonts w:hint="eastAsia" w:ascii="宋体" w:hAnsi="宋体"/>
          <w:szCs w:val="21"/>
        </w:rPr>
        <w:t>2.2 竞争性谈判范围：</w:t>
      </w:r>
      <w:r>
        <w:rPr>
          <w:rFonts w:hint="eastAsia" w:ascii="宋体" w:hAnsi="宋体" w:cs="宋体"/>
          <w:szCs w:val="21"/>
          <w:lang w:bidi="ar"/>
        </w:rPr>
        <w:t>包含但不限于钢结构工程、电气安装工程、管道工程、消防管网工程等，具体详见招标人提供本工程的工程量清单所明确的全部工程内容。</w:t>
      </w:r>
    </w:p>
    <w:p w14:paraId="2EA58EE8">
      <w:pPr>
        <w:topLinePunct/>
        <w:adjustRightInd w:val="0"/>
        <w:snapToGrid w:val="0"/>
        <w:spacing w:line="440" w:lineRule="exact"/>
        <w:rPr>
          <w:rFonts w:hint="eastAsia" w:ascii="宋体" w:hAnsi="宋体"/>
          <w:color w:val="auto"/>
          <w:szCs w:val="21"/>
          <w:highlight w:val="none"/>
        </w:rPr>
      </w:pPr>
      <w:r>
        <w:rPr>
          <w:rFonts w:hint="eastAsia" w:ascii="宋体" w:hAnsi="宋体"/>
          <w:szCs w:val="21"/>
        </w:rPr>
        <w:t>2.3 服务/施工时间：</w:t>
      </w:r>
      <w:r>
        <w:rPr>
          <w:rFonts w:hint="eastAsia" w:ascii="宋体" w:hAnsi="宋体" w:cs="宋体"/>
          <w:szCs w:val="21"/>
          <w:lang w:bidi="ar"/>
        </w:rPr>
        <w:t>工期：</w:t>
      </w:r>
      <w:r>
        <w:rPr>
          <w:rFonts w:hint="eastAsia" w:ascii="宋体" w:hAnsi="宋体" w:cs="宋体"/>
          <w:kern w:val="0"/>
          <w:szCs w:val="21"/>
          <w:u w:val="single"/>
          <w:lang w:bidi="ar"/>
        </w:rPr>
        <w:t>90日历天，</w:t>
      </w:r>
      <w:r>
        <w:rPr>
          <w:rFonts w:hint="eastAsia" w:ascii="宋体" w:hAnsi="宋体"/>
          <w:szCs w:val="21"/>
          <w:lang w:bidi="ar"/>
        </w:rPr>
        <w:t xml:space="preserve"> </w:t>
      </w:r>
      <w:r>
        <w:rPr>
          <w:rFonts w:hint="eastAsia" w:ascii="宋体" w:hAnsi="宋体"/>
          <w:snapToGrid w:val="0"/>
          <w:szCs w:val="21"/>
          <w:lang w:bidi="ar"/>
        </w:rPr>
        <w:t>缺陷责任期要求：</w:t>
      </w:r>
      <w:r>
        <w:rPr>
          <w:rFonts w:hint="eastAsia" w:ascii="宋体" w:hAnsi="宋体"/>
          <w:szCs w:val="21"/>
          <w:u w:val="single"/>
          <w:lang w:bidi="ar"/>
        </w:rPr>
        <w:t>24</w:t>
      </w:r>
      <w:r>
        <w:rPr>
          <w:rFonts w:hint="eastAsia" w:ascii="宋体" w:hAnsi="宋体"/>
          <w:snapToGrid w:val="0"/>
          <w:szCs w:val="21"/>
          <w:u w:val="single"/>
          <w:lang w:bidi="ar"/>
        </w:rPr>
        <w:t>个月</w:t>
      </w:r>
      <w:r>
        <w:rPr>
          <w:rFonts w:hint="eastAsia" w:asciiTheme="minorHAnsi" w:hAnsiTheme="minorHAnsi" w:eastAsiaTheme="minorEastAsia" w:cstheme="minorBidi"/>
        </w:rPr>
        <w:t>。节点工期要求：节点工期只能提前，不允许滞后，主要包括：</w:t>
      </w:r>
      <w:r>
        <w:rPr>
          <w:rFonts w:hint="eastAsia" w:asciiTheme="minorHAnsi" w:hAnsiTheme="minorHAnsi" w:eastAsiaTheme="minorEastAsia" w:cstheme="minorBidi"/>
          <w:color w:val="auto"/>
          <w:highlight w:val="none"/>
        </w:rPr>
        <w:t>（1）2016年1月25日前，钢结构达到筑炉条件；（2）2026年2月10日前，水、电、气、天然气等全线贯通，主要设备调试完成，达到点火条件。</w:t>
      </w:r>
    </w:p>
    <w:p w14:paraId="0448E199">
      <w:pPr>
        <w:topLinePunct/>
        <w:adjustRightInd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2.服务/施工地点：重庆国际复合材料股份有限公司长寿生产基地。</w:t>
      </w:r>
    </w:p>
    <w:p w14:paraId="5E1CAF20">
      <w:pPr>
        <w:topLinePunct/>
        <w:adjustRightInd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 xml:space="preserve">2.5 </w:t>
      </w:r>
      <w:r>
        <w:rPr>
          <w:rFonts w:hint="eastAsia" w:ascii="宋体" w:hAnsi="宋体" w:cs="宋体"/>
          <w:color w:val="auto"/>
          <w:kern w:val="0"/>
          <w:szCs w:val="21"/>
          <w:highlight w:val="none"/>
        </w:rPr>
        <w:t>该项目设置最高限价：人民币</w:t>
      </w:r>
      <w:r>
        <w:rPr>
          <w:rFonts w:ascii="宋体" w:hAnsi="宋体" w:cs="宋体"/>
          <w:color w:val="auto"/>
          <w:kern w:val="0"/>
          <w:szCs w:val="21"/>
          <w:highlight w:val="none"/>
          <w:u w:val="single"/>
          <w:lang w:bidi="ar"/>
        </w:rPr>
        <w:t>924</w:t>
      </w:r>
      <w:r>
        <w:rPr>
          <w:rFonts w:hint="eastAsia" w:ascii="宋体" w:hAnsi="宋体" w:cs="宋体"/>
          <w:color w:val="auto"/>
          <w:kern w:val="0"/>
          <w:szCs w:val="21"/>
          <w:highlight w:val="none"/>
          <w:u w:val="single"/>
          <w:lang w:bidi="ar"/>
        </w:rPr>
        <w:t>,</w:t>
      </w:r>
      <w:r>
        <w:rPr>
          <w:rFonts w:ascii="宋体" w:hAnsi="宋体" w:cs="宋体"/>
          <w:color w:val="auto"/>
          <w:kern w:val="0"/>
          <w:szCs w:val="21"/>
          <w:highlight w:val="none"/>
          <w:u w:val="single"/>
          <w:lang w:bidi="ar"/>
        </w:rPr>
        <w:t>923.27</w:t>
      </w:r>
      <w:r>
        <w:rPr>
          <w:rFonts w:hint="eastAsia" w:ascii="宋体" w:hAnsi="宋体" w:cs="宋体"/>
          <w:color w:val="auto"/>
          <w:kern w:val="0"/>
          <w:szCs w:val="21"/>
          <w:highlight w:val="none"/>
        </w:rPr>
        <w:t>元，所有单位报价不得超过最高限价，</w:t>
      </w:r>
      <w:r>
        <w:rPr>
          <w:rFonts w:hint="eastAsia" w:ascii="宋体" w:hAnsi="宋体" w:cs="宋体"/>
          <w:color w:val="auto"/>
          <w:szCs w:val="21"/>
          <w:highlight w:val="none"/>
        </w:rPr>
        <w:t>该最高限价的范围包括卖方为完成合同全部义务应承担的一切成本、费用和支出以及卖方的合理利润。（包括但不限于材料款、安装费、包装费、上车费、运费、卸货费、运输保险费</w:t>
      </w:r>
      <w:r>
        <w:rPr>
          <w:rFonts w:hint="eastAsia" w:ascii="宋体" w:hAnsi="宋体"/>
          <w:color w:val="auto"/>
          <w:szCs w:val="21"/>
          <w:highlight w:val="none"/>
        </w:rPr>
        <w:t>材料到厂后卸货至买方指定地点</w:t>
      </w:r>
      <w:r>
        <w:rPr>
          <w:rFonts w:hint="eastAsia" w:ascii="宋体" w:hAnsi="宋体" w:cs="宋体"/>
          <w:color w:val="auto"/>
          <w:szCs w:val="21"/>
          <w:highlight w:val="none"/>
        </w:rPr>
        <w:t>）</w:t>
      </w:r>
    </w:p>
    <w:p w14:paraId="61127254">
      <w:pPr>
        <w:spacing w:line="440" w:lineRule="exact"/>
        <w:jc w:val="left"/>
        <w:outlineLvl w:val="0"/>
        <w:rPr>
          <w:rFonts w:hint="eastAsia" w:ascii="宋体" w:hAnsi="宋体" w:cs="宋体"/>
          <w:szCs w:val="21"/>
          <w:lang w:bidi="ar"/>
        </w:rPr>
      </w:pPr>
      <w:r>
        <w:rPr>
          <w:rFonts w:hint="eastAsia" w:ascii="宋体" w:hAnsi="宋体"/>
          <w:color w:val="auto"/>
          <w:szCs w:val="21"/>
          <w:highlight w:val="none"/>
        </w:rPr>
        <w:t>2.6 付款方式：</w:t>
      </w:r>
      <w:bookmarkStart w:id="32" w:name="_Toc22086"/>
      <w:bookmarkStart w:id="33" w:name="_Toc14373"/>
      <w:bookmarkStart w:id="34" w:name="_Toc21527"/>
      <w:bookmarkStart w:id="35" w:name="_Toc29166"/>
      <w:bookmarkStart w:id="36" w:name="_Toc18439"/>
      <w:bookmarkStart w:id="37" w:name="_Toc20349"/>
      <w:bookmarkStart w:id="38" w:name="_Toc25935"/>
      <w:bookmarkStart w:id="39" w:name="_Toc8793"/>
      <w:bookmarkStart w:id="40" w:name="_Toc25025"/>
      <w:bookmarkStart w:id="41" w:name="_Toc9431"/>
      <w:r>
        <w:rPr>
          <w:rFonts w:hint="eastAsia" w:ascii="宋体" w:hAnsi="宋体" w:cs="宋体"/>
          <w:color w:val="auto"/>
          <w:szCs w:val="21"/>
          <w:highlight w:val="none"/>
          <w:lang w:bidi="ar"/>
        </w:rPr>
        <w:t>现金电汇或银行承兑汇票</w:t>
      </w:r>
      <w:r>
        <w:rPr>
          <w:rFonts w:hint="eastAsia" w:ascii="宋体" w:hAnsi="宋体" w:cs="宋体"/>
          <w:color w:val="auto"/>
          <w:kern w:val="0"/>
          <w:szCs w:val="21"/>
          <w:highlight w:val="none"/>
          <w:lang w:bidi="ar"/>
        </w:rPr>
        <w:t>。</w:t>
      </w:r>
      <w:r>
        <w:rPr>
          <w:rFonts w:hint="eastAsia" w:ascii="宋体" w:hAnsi="宋体" w:cs="宋体"/>
          <w:color w:val="auto"/>
          <w:highlight w:val="none"/>
          <w:lang w:bidi="ar"/>
        </w:rPr>
        <w:t>发包人应在签订结算定案表后的28 天内，累计支付至竣工结算价款的97%，余3%质保金，待保修期满后一次性付清</w:t>
      </w:r>
      <w:r>
        <w:rPr>
          <w:rFonts w:hint="eastAsia" w:ascii="宋体" w:hAnsi="宋体" w:cs="宋体"/>
          <w:lang w:bidi="ar"/>
        </w:rPr>
        <w:t>。发包人的支付方式约定为银行承兑汇票或电汇付款（银行转账）；</w:t>
      </w:r>
      <w:r>
        <w:rPr>
          <w:rFonts w:hint="eastAsia" w:ascii="宋体" w:hAnsi="宋体" w:cs="宋体"/>
          <w:szCs w:val="21"/>
          <w:lang w:bidi="ar"/>
        </w:rPr>
        <w:t>如若付款方式调整为电汇付款（银行转账），则承包人对发包人的支付金额给予1%的现金折扣。</w:t>
      </w:r>
    </w:p>
    <w:p w14:paraId="41CC7E2E">
      <w:pPr>
        <w:spacing w:line="440" w:lineRule="exact"/>
        <w:jc w:val="left"/>
        <w:outlineLvl w:val="0"/>
        <w:rPr>
          <w:rFonts w:hint="eastAsia" w:ascii="宋体" w:hAnsi="宋体" w:cs="宋体"/>
          <w:szCs w:val="21"/>
          <w:lang w:bidi="ar"/>
        </w:rPr>
      </w:pPr>
    </w:p>
    <w:p w14:paraId="2A5A7D17">
      <w:pPr>
        <w:topLinePunct/>
        <w:adjustRightInd w:val="0"/>
        <w:snapToGrid w:val="0"/>
        <w:spacing w:line="440" w:lineRule="exact"/>
        <w:rPr>
          <w:rFonts w:hint="eastAsia" w:ascii="宋体" w:hAnsi="宋体"/>
          <w:b/>
          <w:snapToGrid w:val="0"/>
          <w:kern w:val="0"/>
          <w:szCs w:val="21"/>
        </w:rPr>
      </w:pPr>
      <w:r>
        <w:rPr>
          <w:rFonts w:hint="eastAsia" w:ascii="宋体" w:hAnsi="宋体"/>
          <w:b/>
          <w:snapToGrid w:val="0"/>
          <w:kern w:val="0"/>
          <w:szCs w:val="21"/>
        </w:rPr>
        <w:t>3. 供应商资格要求</w:t>
      </w:r>
    </w:p>
    <w:p w14:paraId="6D4B8369">
      <w:pPr>
        <w:topLinePunct/>
        <w:adjustRightInd w:val="0"/>
        <w:snapToGrid w:val="0"/>
        <w:spacing w:line="440" w:lineRule="exact"/>
        <w:rPr>
          <w:rFonts w:hint="eastAsia" w:ascii="宋体" w:hAnsi="宋体"/>
          <w:szCs w:val="21"/>
        </w:rPr>
      </w:pPr>
      <w:r>
        <w:rPr>
          <w:rFonts w:hint="eastAsia" w:ascii="宋体" w:hAnsi="宋体"/>
          <w:szCs w:val="21"/>
        </w:rPr>
        <w:t>3.1本次竞争性谈判实行资格后审，供应商应满足下列资格条件：</w:t>
      </w:r>
    </w:p>
    <w:p w14:paraId="414DE690">
      <w:pPr>
        <w:topLinePunct/>
        <w:adjustRightInd w:val="0"/>
        <w:snapToGrid w:val="0"/>
        <w:spacing w:line="440" w:lineRule="exact"/>
        <w:rPr>
          <w:rFonts w:hint="eastAsia" w:ascii="宋体" w:hAnsi="宋体"/>
          <w:kern w:val="0"/>
          <w:szCs w:val="21"/>
        </w:rPr>
      </w:pPr>
      <w:r>
        <w:rPr>
          <w:rFonts w:hint="eastAsia" w:ascii="宋体" w:hAnsi="宋体"/>
          <w:kern w:val="0"/>
          <w:szCs w:val="21"/>
        </w:rPr>
        <w:t>3.1.1</w:t>
      </w:r>
      <w:r>
        <w:rPr>
          <w:rFonts w:ascii="宋体" w:hAnsi="宋体"/>
          <w:kern w:val="0"/>
          <w:szCs w:val="21"/>
        </w:rPr>
        <w:t>具备工商行政主管部门颁发的经营期限内的营业执照</w:t>
      </w:r>
      <w:r>
        <w:rPr>
          <w:rFonts w:hint="eastAsia" w:ascii="宋体" w:hAnsi="宋体"/>
          <w:kern w:val="0"/>
          <w:szCs w:val="21"/>
        </w:rPr>
        <w:t>（统一社会信用代码）提供有效的营业执照复印件，加盖供应商公章</w:t>
      </w:r>
      <w:r>
        <w:rPr>
          <w:rFonts w:ascii="宋体" w:hAnsi="宋体"/>
          <w:kern w:val="0"/>
          <w:szCs w:val="21"/>
        </w:rPr>
        <w:t>。</w:t>
      </w:r>
    </w:p>
    <w:p w14:paraId="0759FFC5">
      <w:pPr>
        <w:tabs>
          <w:tab w:val="left" w:pos="3840"/>
          <w:tab w:val="left" w:pos="5300"/>
        </w:tabs>
        <w:autoSpaceDE w:val="0"/>
        <w:autoSpaceDN w:val="0"/>
        <w:adjustRightInd w:val="0"/>
        <w:snapToGrid w:val="0"/>
        <w:spacing w:line="360" w:lineRule="auto"/>
        <w:rPr>
          <w:rFonts w:cs="宋体"/>
          <w:lang w:bidi="ar"/>
        </w:rPr>
      </w:pPr>
      <w:r>
        <w:rPr>
          <w:rFonts w:hint="eastAsia" w:ascii="宋体" w:hAnsi="宋体"/>
          <w:kern w:val="0"/>
          <w:szCs w:val="21"/>
        </w:rPr>
        <w:t>3</w:t>
      </w:r>
      <w:r>
        <w:rPr>
          <w:rFonts w:ascii="宋体" w:hAnsi="宋体"/>
          <w:kern w:val="0"/>
          <w:szCs w:val="21"/>
        </w:rPr>
        <w:t>.1.</w:t>
      </w:r>
      <w:r>
        <w:rPr>
          <w:rFonts w:hint="eastAsia" w:ascii="宋体" w:hAnsi="宋体"/>
          <w:kern w:val="0"/>
          <w:szCs w:val="21"/>
        </w:rPr>
        <w:t>2</w:t>
      </w:r>
      <w:r>
        <w:rPr>
          <w:rFonts w:ascii="宋体" w:hAnsi="宋体"/>
          <w:kern w:val="0"/>
          <w:szCs w:val="21"/>
        </w:rPr>
        <w:t xml:space="preserve"> </w:t>
      </w:r>
      <w:r>
        <w:rPr>
          <w:rFonts w:hint="eastAsia" w:cs="宋体"/>
          <w:lang w:bidi="ar"/>
        </w:rPr>
        <w:t>需具备建设行政主管部门颁发的有效的机电工程施工总承包三级及以上资质或建筑机电安装工程专业承包三级及以上资质。</w:t>
      </w:r>
    </w:p>
    <w:p w14:paraId="6BE1BAC4">
      <w:pPr>
        <w:tabs>
          <w:tab w:val="left" w:pos="3840"/>
          <w:tab w:val="left" w:pos="5300"/>
        </w:tabs>
        <w:autoSpaceDE w:val="0"/>
        <w:autoSpaceDN w:val="0"/>
        <w:adjustRightInd w:val="0"/>
        <w:snapToGrid w:val="0"/>
        <w:spacing w:line="360" w:lineRule="auto"/>
        <w:rPr>
          <w:rFonts w:hint="eastAsia" w:ascii="宋体" w:hAnsi="宋体" w:cs="宋体"/>
          <w:szCs w:val="21"/>
        </w:rPr>
      </w:pPr>
      <w:r>
        <w:rPr>
          <w:rFonts w:hint="eastAsia" w:ascii="宋体" w:hAnsi="宋体" w:cs="宋体"/>
          <w:szCs w:val="21"/>
        </w:rPr>
        <w:t xml:space="preserve">3.1.3 </w:t>
      </w:r>
      <w:r>
        <w:rPr>
          <w:rFonts w:hint="eastAsia" w:cs="宋体"/>
          <w:lang w:bidi="ar"/>
        </w:rPr>
        <w:t>施工人员需经过专业培训并考取相应证书，如焊接作业证、电工证和安全作业证，以保障其具备足够的燃气知识和安全生产素质。</w:t>
      </w:r>
      <w:r>
        <w:rPr>
          <w:rFonts w:hint="eastAsia" w:ascii="宋体" w:hAnsi="宋体" w:cs="宋体"/>
          <w:szCs w:val="21"/>
        </w:rPr>
        <w:t>报价人须在报价文件资格审查部分提供有效的资质证书、有效的营业执照复印件。</w:t>
      </w:r>
    </w:p>
    <w:p w14:paraId="714E5D52">
      <w:pPr>
        <w:pStyle w:val="62"/>
        <w:widowControl/>
        <w:wordWrap w:val="0"/>
        <w:spacing w:line="380" w:lineRule="exact"/>
        <w:ind w:firstLine="0" w:firstLineChars="0"/>
        <w:rPr>
          <w:rFonts w:hint="eastAsia" w:ascii="宋体" w:hAnsi="宋体" w:cs="宋体"/>
          <w:szCs w:val="21"/>
        </w:rPr>
      </w:pPr>
      <w:r>
        <w:rPr>
          <w:rFonts w:hint="eastAsia" w:ascii="宋体" w:hAnsi="宋体" w:cs="宋体"/>
          <w:szCs w:val="21"/>
        </w:rPr>
        <w:t>3.1.4未被有关行政部门暂停投标资格，或被有关行政部门暂停投标资格期限未满，不得在近两年内申请人或其法定代表人有行贿犯罪行为和不得在国家企业信用信息公示系统“http://www.gsxt.gov.cn/index.html”列入严重违法企业失信名单。</w:t>
      </w:r>
    </w:p>
    <w:p w14:paraId="53BEFC0D">
      <w:pPr>
        <w:pStyle w:val="62"/>
        <w:widowControl/>
        <w:wordWrap w:val="0"/>
        <w:spacing w:line="380" w:lineRule="exact"/>
        <w:ind w:firstLine="420"/>
        <w:rPr>
          <w:rFonts w:hint="eastAsia" w:ascii="宋体" w:hAnsi="宋体" w:cs="宋体"/>
          <w:szCs w:val="21"/>
        </w:rPr>
      </w:pPr>
      <w:r>
        <w:rPr>
          <w:rFonts w:hint="eastAsia" w:ascii="宋体" w:hAnsi="宋体" w:cs="宋体"/>
          <w:szCs w:val="21"/>
        </w:rPr>
        <w:t>（申请人网上截图、并承诺无以上情形之一）</w:t>
      </w:r>
    </w:p>
    <w:p w14:paraId="78CE739B">
      <w:pPr>
        <w:pStyle w:val="62"/>
        <w:widowControl/>
        <w:wordWrap w:val="0"/>
        <w:spacing w:line="380" w:lineRule="exact"/>
        <w:ind w:firstLine="0" w:firstLineChars="0"/>
        <w:rPr>
          <w:rFonts w:hint="eastAsia" w:ascii="宋体" w:hAnsi="宋体" w:cs="宋体"/>
          <w:szCs w:val="21"/>
        </w:rPr>
      </w:pPr>
      <w:r>
        <w:rPr>
          <w:rFonts w:hint="eastAsia" w:ascii="宋体" w:hAnsi="宋体" w:cs="宋体"/>
          <w:szCs w:val="21"/>
        </w:rPr>
        <w:t>3.2 本次竞争性谈判不接受联合体。</w:t>
      </w:r>
    </w:p>
    <w:p w14:paraId="4C25371A">
      <w:pPr>
        <w:pStyle w:val="62"/>
        <w:widowControl/>
        <w:wordWrap w:val="0"/>
        <w:spacing w:line="380" w:lineRule="exact"/>
        <w:ind w:firstLine="0" w:firstLineChars="0"/>
        <w:rPr>
          <w:rFonts w:hint="eastAsia" w:ascii="宋体" w:hAnsi="宋体" w:cs="宋体"/>
          <w:szCs w:val="21"/>
        </w:rPr>
      </w:pPr>
      <w:r>
        <w:rPr>
          <w:rFonts w:hint="eastAsia" w:ascii="宋体" w:hAnsi="宋体" w:cs="宋体"/>
          <w:szCs w:val="21"/>
        </w:rPr>
        <w:t>3.3本次竞争性谈判不组织踏勘现场</w:t>
      </w:r>
    </w:p>
    <w:p w14:paraId="183DA64E">
      <w:pPr>
        <w:pStyle w:val="62"/>
        <w:widowControl/>
        <w:wordWrap w:val="0"/>
        <w:spacing w:line="380" w:lineRule="exact"/>
        <w:ind w:firstLine="0" w:firstLineChars="0"/>
        <w:rPr>
          <w:rFonts w:hint="eastAsia" w:ascii="宋体" w:hAnsi="宋体" w:cs="宋体"/>
          <w:szCs w:val="21"/>
        </w:rPr>
      </w:pPr>
      <w:r>
        <w:rPr>
          <w:rFonts w:hint="eastAsia" w:ascii="宋体" w:hAnsi="宋体" w:cs="宋体"/>
          <w:szCs w:val="21"/>
        </w:rPr>
        <w:t>3.4本次竞争性谈判不召开报价预备会</w:t>
      </w:r>
    </w:p>
    <w:p w14:paraId="123352CE">
      <w:pPr>
        <w:pStyle w:val="62"/>
        <w:widowControl/>
        <w:wordWrap w:val="0"/>
        <w:spacing w:line="380" w:lineRule="exact"/>
        <w:ind w:firstLine="0" w:firstLineChars="0"/>
        <w:rPr>
          <w:rFonts w:hint="eastAsia" w:ascii="宋体" w:hAnsi="宋体" w:cs="宋体"/>
          <w:szCs w:val="21"/>
        </w:rPr>
      </w:pPr>
      <w:r>
        <w:rPr>
          <w:rFonts w:hint="eastAsia" w:ascii="宋体" w:hAnsi="宋体" w:cs="宋体"/>
          <w:szCs w:val="21"/>
        </w:rPr>
        <w:t>3.5不允许偏离</w:t>
      </w:r>
    </w:p>
    <w:p w14:paraId="4C451D15">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 xml:space="preserve">4. </w:t>
      </w:r>
      <w:bookmarkEnd w:id="32"/>
      <w:bookmarkEnd w:id="33"/>
      <w:bookmarkEnd w:id="34"/>
      <w:bookmarkEnd w:id="35"/>
      <w:bookmarkEnd w:id="36"/>
      <w:bookmarkEnd w:id="37"/>
      <w:bookmarkEnd w:id="38"/>
      <w:r>
        <w:rPr>
          <w:rFonts w:hint="eastAsia" w:ascii="宋体" w:hAnsi="宋体"/>
          <w:b/>
          <w:snapToGrid w:val="0"/>
          <w:kern w:val="0"/>
          <w:szCs w:val="21"/>
        </w:rPr>
        <w:t>竞争性谈判</w:t>
      </w:r>
      <w:bookmarkEnd w:id="39"/>
      <w:bookmarkEnd w:id="40"/>
      <w:bookmarkEnd w:id="41"/>
      <w:r>
        <w:rPr>
          <w:rFonts w:hint="eastAsia" w:ascii="宋体" w:hAnsi="宋体"/>
          <w:b/>
          <w:snapToGrid w:val="0"/>
          <w:kern w:val="0"/>
          <w:szCs w:val="21"/>
        </w:rPr>
        <w:t>规则</w:t>
      </w:r>
    </w:p>
    <w:p w14:paraId="0BCF29EE">
      <w:pPr>
        <w:topLinePunct/>
        <w:adjustRightInd w:val="0"/>
        <w:snapToGrid w:val="0"/>
        <w:spacing w:line="440" w:lineRule="exact"/>
        <w:rPr>
          <w:rFonts w:hint="eastAsia" w:ascii="宋体" w:hAnsi="宋体"/>
          <w:szCs w:val="21"/>
        </w:rPr>
      </w:pPr>
      <w:r>
        <w:rPr>
          <w:rFonts w:hint="eastAsia" w:ascii="宋体" w:hAnsi="宋体"/>
          <w:szCs w:val="21"/>
        </w:rPr>
        <w:t>4.1谈判文件要求密封，并加盖供应商单位公章。</w:t>
      </w:r>
    </w:p>
    <w:p w14:paraId="35F952F1">
      <w:pPr>
        <w:topLinePunct/>
        <w:adjustRightInd w:val="0"/>
        <w:snapToGrid w:val="0"/>
        <w:spacing w:line="440" w:lineRule="exact"/>
        <w:rPr>
          <w:rFonts w:hint="eastAsia" w:ascii="宋体" w:hAnsi="宋体"/>
          <w:szCs w:val="21"/>
        </w:rPr>
      </w:pPr>
      <w:r>
        <w:rPr>
          <w:rFonts w:hint="eastAsia" w:ascii="宋体" w:hAnsi="宋体"/>
          <w:szCs w:val="21"/>
        </w:rPr>
        <w:t>4.2供应商</w:t>
      </w:r>
      <w:r>
        <w:rPr>
          <w:rFonts w:hint="eastAsia" w:ascii="宋体" w:hAnsi="宋体" w:cs="宋体"/>
          <w:szCs w:val="21"/>
        </w:rPr>
        <w:t>应根据自身实力和对竞争性谈判文件技术参数的理解，结合市场行情自主报价</w:t>
      </w:r>
      <w:r>
        <w:rPr>
          <w:rFonts w:hint="eastAsia" w:ascii="宋体" w:hAnsi="宋体"/>
          <w:szCs w:val="21"/>
        </w:rPr>
        <w:t>。</w:t>
      </w:r>
    </w:p>
    <w:p w14:paraId="08E41B9C">
      <w:pPr>
        <w:topLinePunct/>
        <w:adjustRightInd w:val="0"/>
        <w:snapToGrid w:val="0"/>
        <w:spacing w:line="440" w:lineRule="exact"/>
        <w:rPr>
          <w:rFonts w:hint="eastAsia" w:ascii="宋体" w:hAnsi="宋体"/>
          <w:szCs w:val="21"/>
        </w:rPr>
      </w:pPr>
      <w:r>
        <w:rPr>
          <w:rFonts w:hint="eastAsia" w:ascii="宋体" w:hAnsi="宋体"/>
          <w:szCs w:val="21"/>
        </w:rPr>
        <w:t>4.3谈判</w:t>
      </w:r>
      <w:r>
        <w:rPr>
          <w:rFonts w:hint="eastAsia" w:ascii="宋体" w:hAnsi="宋体" w:cs="宋体"/>
          <w:szCs w:val="21"/>
        </w:rPr>
        <w:t>报价货币为人民币(RMB)，</w:t>
      </w:r>
      <w:r>
        <w:rPr>
          <w:rFonts w:hint="eastAsia" w:ascii="宋体" w:hAnsi="宋体"/>
          <w:szCs w:val="21"/>
        </w:rPr>
        <w:t>应包含备件款、税金、运费、保险费、管理费等一切费用。</w:t>
      </w:r>
    </w:p>
    <w:p w14:paraId="0F01A8E7">
      <w:pPr>
        <w:pStyle w:val="17"/>
        <w:spacing w:beforeAutospacing="0" w:afterAutospacing="0" w:line="420" w:lineRule="atLeast"/>
        <w:rPr>
          <w:rFonts w:hint="eastAsia" w:ascii="宋体" w:hAnsi="宋体" w:cs="宋体"/>
          <w:sz w:val="21"/>
          <w:szCs w:val="21"/>
          <w:shd w:val="clear" w:color="auto" w:fill="FFFFFF"/>
        </w:rPr>
      </w:pPr>
      <w:r>
        <w:rPr>
          <w:rFonts w:hint="eastAsia" w:ascii="宋体" w:hAnsi="宋体"/>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3E74ACFC">
      <w:pPr>
        <w:spacing w:line="440" w:lineRule="exact"/>
        <w:jc w:val="left"/>
        <w:outlineLvl w:val="0"/>
        <w:rPr>
          <w:rFonts w:hint="eastAsia" w:ascii="宋体" w:hAnsi="宋体" w:cs="宋体"/>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2" w:name="_Toc1277"/>
      <w:bookmarkStart w:id="43" w:name="_Toc19404"/>
      <w:bookmarkStart w:id="44" w:name="_Toc7273"/>
      <w:bookmarkStart w:id="45" w:name="_Toc19904"/>
      <w:bookmarkStart w:id="46" w:name="_Toc22256"/>
      <w:bookmarkStart w:id="47" w:name="_Toc11777"/>
      <w:bookmarkStart w:id="48" w:name="_Toc5540"/>
      <w:bookmarkStart w:id="49" w:name="_Toc14186"/>
      <w:bookmarkStart w:id="50" w:name="_Toc23380"/>
      <w:bookmarkStart w:id="51" w:name="_Toc27438"/>
    </w:p>
    <w:p w14:paraId="4C45F091">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4.6报价说明：</w:t>
      </w:r>
    </w:p>
    <w:p w14:paraId="3B9439BA">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（1）、报价范围：本次招标范围内规定的所有工程内容，具体详见相关施工图纸、图说及工程量清单。</w:t>
      </w:r>
    </w:p>
    <w:p w14:paraId="0CD7875F">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2）、投标报价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投标人结合本企业的经营情况、自身实力、现场踏勘所获取的相关信息资料和企业发展策略以及市场行情和招标文件对工程质量、工期的要求自主进行报价。</w:t>
      </w:r>
    </w:p>
    <w:p w14:paraId="744EBD4C">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（3）、编制说明：</w:t>
      </w:r>
    </w:p>
    <w:p w14:paraId="247ACFB0">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i.本工程量清单中的“项目特征”及“工程内容”描述不作为投标报价的唯一依据，投标人应根据分部分项工程项目清单计价表中“项目特征”及“工程内容”的描述结合招标文件、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14:paraId="6234AFD6">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ii.除非合同中另有规定，投标人在分部分项工程项目清单计价表中所报的综合单价和合价，以及投标总报价均包括了投标人为实施和完成该工程招标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投标人的投标报价视为是一个有经验的投标人，在对工程充分了解及对风险充分估计后所作的完备报价。</w:t>
      </w:r>
    </w:p>
    <w:p w14:paraId="15EB7887">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iii.工程量清单所列的工程量系估算的和暂定的数量，仅作为投标报价的共同基础。付款以实际完成的合格工程量为依据。由中标人计量，招标人核实的实际完成工程量，按具有标价的工程量清单中所报的综合单价结算和支付。</w:t>
      </w:r>
    </w:p>
    <w:p w14:paraId="05677F99">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iv.投标人在编制投标报价时不得改变招标人提供的分部分项工程项目清单中的项目编码、项目名称、项目特征、工程内容、计量单位、工程量，否则其投标文件按否决投标处理。</w:t>
      </w:r>
    </w:p>
    <w:p w14:paraId="4A3D8862">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v.除非招标文件予以修改，投标人应按招标人提供的工程量清单填报《分部分项工程项目清单计价表》；填报《分部分项工程项目清单计价表》时，工程项目和工程量应逐项填报单价和合价，《分部分项工程项目清单计价表》中若有不报价或零报价或负报价的，投标文件按否决投标处理。每一个项目只允许有一个报价，投标文件中任何有选择的报价将不予接受。</w:t>
      </w:r>
    </w:p>
    <w:p w14:paraId="77130D6A">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vi.除非合同中另有规定，投标人的投标总报价均包括完成该合同工程项目的全部费用，在工程实施时，必须按工程量清单中的项、量和监理工程师指令完成该项目工程内容。</w:t>
      </w:r>
    </w:p>
    <w:p w14:paraId="0E06EE59">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vii.投标总报价为投标人在投标文件中提出的各项支付金额的总和。分部分项工程项目清单中所列的工程量仅是提供投标人作为报价的基础，投标函上的报价必须与商务部分所对应的报价一致，否则其投标文件按否决投标处理。</w:t>
      </w:r>
    </w:p>
    <w:p w14:paraId="693A856F">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viii.措施项目费清单包括施工组织措施项目清单和施工技术措施项目清单两部分。①施工组织措施项目清单：招标人给出的施工组织措施项目清单仅供投标人参考，投标人在投标报价时可参照招标人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投标人根据现场踏勘情况及本工程的实际情况结合自身施工组织设计，以项为单位自行报价。技术措施清单中以项目编码、项目名称、项目特征、工程内容、工程量及计量单位列项的项目，投标人必须按招标人给出的施工技术措施项目清单进行报价，不得擅自变改招标人提供的施工技术措施项目清单中的序号、项目编码、项目名称、项目特征、工程内容、工程量及计量单位，否则视为对招标文件不作实质性响应，其投标文件按否决投标处理。但投标人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14:paraId="0E583D50">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ix.安全文明施工费：安全文明施工费由安全施工费、文明施工费、环境保护费及临时设施费组成。本项目安全文明施工费投标人统一按27097.23元（大写：贰万柒仟零玖拾柒元贰角叁分）计取，否则，其投标文件作否决投标处理。</w:t>
      </w:r>
    </w:p>
    <w:p w14:paraId="542DE5D7">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投标函》中的安全文明施工费必须填报，填报金额必须为27097.23元（大写：贰万柒仟零玖拾柒元贰角叁分），否则，投标文件作否决投标处理。结算时，安全文明施工费按“关于修订发布《重庆市建设工程安全文明施工费计取及使用管理规定》的通知”（渝建管[2024]38号）、《重庆市住房和城乡建设委员会关于适用增值税新税率调整建设工程计价依据的通知》（渝建〔2019〕143号）及2018年重庆市建设工程费用定额规定计取。安全文明施工的要求与内容、提取支付方法以及违反约定造成损失的赔偿等条款，按照现行文件要求执行，做到专款专用。</w:t>
      </w:r>
    </w:p>
    <w:p w14:paraId="718384B4">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 xml:space="preserve"> 根据渝建发【2011】607号文规定，中标人在施工过程中必须按《建筑工程施工围挡（Ⅱ）》（编号为 DJBT-062，图集号为11J03）标准设置施工围挡</w:t>
      </w:r>
    </w:p>
    <w:p w14:paraId="74DA627C">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p>
    <w:p w14:paraId="7F4C5919">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xi.本工程规费按2018年《重庆市建设工程费用定额》的标准计取否则视为对招标文件不作实质性响应，其投标文件按否决投标处理</w:t>
      </w:r>
    </w:p>
    <w:p w14:paraId="686C798D">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xii.工伤保险费按渝人社发［2015］197号文件执行</w:t>
      </w:r>
    </w:p>
    <w:p w14:paraId="2BF62A19">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iii.投标人在其投标报价中应充分考虑各项措施费用包括但不限于：临时水、电、脚手架和仓储用地、用房、人员食宿、建筑垃圾清运、排污费、材料及半成品的二次或多次转运、成品保护、所拆除的建筑构件及材料场内二次或多次转运等所引起的费用纳入投标报价中，招标人对此类费用不另行支付，施工现场不具备堆放物资、材料的条件，投标人应根据发包人提供的航拍图对应的临时设施场地搭设临设，同时投标人应将从临设至施工地点的材料、半成品、成品、设备等转运及其他可能产生的相关费用纳入投标报价中，招标人对此不再另行支付费用。</w:t>
      </w:r>
    </w:p>
    <w:p w14:paraId="4D62A60D">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iv.中标人自行负责施工用水（含水源）、用电（含电源）及其接口，其费用由投标人纳入投标报价中，结算时招标人不支付此类费用。中标人必须结合施工场地供水、供电的实际情况，负责接至各施工点并对安全负责，并根据实际情况配备必要发电设备和水压增压设备等。由此发生的所有费用（包括搭接费、水电费、协调费、设备设施费等）已包含在投标报价中，工程结算时招标人不另行支付该费用。</w:t>
      </w:r>
    </w:p>
    <w:p w14:paraId="0488C042">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v.包括但不限于建筑垃圾、余土石方、淤泥、混凝土浆、机械生产所需的汽油（机油）等按环保要求进行处理，并由中标人自行外运，由此所发生的一切费用（包括但不限于建筑垃圾的收集处理、弃土场道路的修建和维护、弃渣费、运输道路沿线的清扫、易撒漏物资密闭运输费以及措施费等）由投标人纳入投标报价中，中标后招标人不作任何调整。中标人由于余土石方及建筑垃圾的弃置所造成的一切赔偿由中标人自行负责并承担费用。</w:t>
      </w:r>
    </w:p>
    <w:p w14:paraId="09B3D0CB">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vi.中标单位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中标人自行承担，招标人不承担连带责任。</w:t>
      </w:r>
    </w:p>
    <w:p w14:paraId="2C397AEA">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vii.中标人应保持施工区域内及周边现有道路、周边企业建设的进出道路的畅通，以及对相关设施的保护等，请投标人充分考虑，其费用全部纳入投标报价中。因本工程场地受限，红线范围内不提供现场办公和生活区的搭建场地，投标人应充分考虑现场实际情况，选址由投标人自行解决，招标人不提供使用场地，所发生费用由投标人综合考虑进入投标报价中，不再另行计价。</w:t>
      </w:r>
    </w:p>
    <w:p w14:paraId="4EE24423">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viii.本工程施工期间中标人须保护施工场地范围内地上（地下）各种管线、施工现场周边的建、构筑物，中标单位所采取保护措施而发生的相关费用（包括人、材、机停窝工、管线保护费、作业方式的调整等）由中标人承担，若中标人对管线和建、构筑物造成损坏或破坏的，由中标人负责修复并承担所有经济责任和法律责任，招标人不承担任何连带责任。</w:t>
      </w:r>
    </w:p>
    <w:p w14:paraId="368DB764">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ix.投标人应充分了解工地位置，若多家施工单位现场交叉作业时，中标人须无条件的服从招标人统一安排，否则立即无条件清离现场。一切损失由投标人自行承担，因此给招标人造成的损失，投标人必须承担赔偿。由于交叉作业增加的各种费用由投标人纳入投标报价中，招标人不另支付其它费用和调整中标价。</w:t>
      </w:r>
    </w:p>
    <w:p w14:paraId="59AAF5F0">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x.若因招标人原因（如:工程设计变更、项目增减或征地拆迁不及时等）造成人、材、机停（窝）工、工期延长等，其相关费用由投标人纳入投标报价中，招标人不另行支付其它费用或调整中标单价，但影响的工期，招标人同意顺延。</w:t>
      </w:r>
    </w:p>
    <w:p w14:paraId="18DF8EE2">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xxi.若因中标人原因，造成总工期延误的，每延误一日历天则向招标人支付违约金10000元，依此类推，投标人在投标投报价时充分考虑此因素。</w:t>
      </w:r>
    </w:p>
    <w:p w14:paraId="544E9ABF">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xii.本工程因工期紧，任务重，中标人应根据工期要求，合理安排机械设备及人员的投入，本工程的施工重点：池窑车间、自动化物流相关车间的施工、厂房及设备基础施工方案；技术关键点：与设备供应商交叉施工配合措施、成品保护措施、各安装单位交叉作业的保障措施。以上所发生的一切费用由投标人纳入投标报价中 。</w:t>
      </w:r>
    </w:p>
    <w:p w14:paraId="4558E446">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xxiii.材料：除招标文件及其附件内明确的甲供材以外，其余材料为中标人供应。</w:t>
      </w:r>
    </w:p>
    <w:p w14:paraId="37B8085C">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①材料价格按不含税价格确定，其进项税额按《重庆市住房和城乡建设委员会关于适用增值税新税率调整建设工程计价依据的通知》（渝建〔2019〕143号）执行。</w:t>
      </w:r>
    </w:p>
    <w:p w14:paraId="322C6494">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②本工程的所有材料须先检测合格后方可施工，本项目建筑工程部分的质量检测按渝建 [2015]420 号文件规定执行；施工单位应为取样送检单位在施工现场开展有关工作提供条件，相关费用由投标人自行考虑并包含在投标报价中，不再调整。</w:t>
      </w:r>
    </w:p>
    <w:p w14:paraId="0A2E0649">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③投标人在报价时应充分考虑整个施工期内材料、设备的涨价因素，根据重庆市城乡建设委员会关于进一步加强建筑安装材料价格风险管控的指导意见（渝建〔2018〕61 号文件）的精神，对施工期间主要材料价格变化幅度超过5%以上的部分的结算价格进行调整。主要材料价格变化幅度未超过（含）5%，主要材料结算价格按中标材料价确定；除主要材料外的其余材料及设备均由投标人自主报价并采购，投标人在报价时应充分考虑整个施工期内材料、设备的涨价因素，不因市场价格的变化而调整。</w:t>
      </w:r>
    </w:p>
    <w:p w14:paraId="5F139079">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a.主要材料范围界定：《重庆工程造价信息》中各区县主要材料信息价中公布的主城区全部材料和重庆市材料信息价中公布的钢材。</w:t>
      </w:r>
    </w:p>
    <w:p w14:paraId="61D8D256">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b.主要材料价格依据：以《重庆工程造价信息》中各区县主要材料信息价中公布的主城区材料价格和重庆市材料信息价中公布的钢材价格为准。</w:t>
      </w:r>
    </w:p>
    <w:p w14:paraId="268C7B5A">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c.主要材料价格变化幅度 D=（施工期间材料价格算术平均值 B―2025年12月公布的主要材料价格 C）÷2025年12月公布的主要材料价格 C×100%。施工期间是指在合同协议书约定的承包人完成工程所需的期限，包括按照合同约定所作的期限变更；</w:t>
      </w:r>
    </w:p>
    <w:p w14:paraId="60AB979E">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d.主要材料结算价格调整：D&gt;5%，调整后的主要材料结算价格=调差基准价 A＋C×（D―5%）；D＜-5%，调整后的主要材料结算价格=调差基准价 A＋C×（D＋5%）</w:t>
      </w:r>
    </w:p>
    <w:p w14:paraId="266061F7">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注： ①调差基准价 A：中标材料价格与 2025年12月公布的主要材料价格比较，取较小值</w:t>
      </w:r>
    </w:p>
    <w:p w14:paraId="7A26CEAB">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②承包人的投标文件中同一规格型号的材料出现不同价格的，取较低值</w:t>
      </w:r>
    </w:p>
    <w:p w14:paraId="59920C66">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③主要材料消耗量：中标人投标文件中的主要材料消耗量与重庆市 2018计价定额及配套文件中的主要材料消耗量相比，取较小值</w:t>
      </w:r>
    </w:p>
    <w:p w14:paraId="5F744FDE">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④因承包人原因导致工期延误的，在合同原定竣工时间之后，材料价格相比2025年12月公布的材料价格增加的，不予纳入施工期间材料价格算术平均值的计算；材料价格相比2025年12月公布的材料价格降低的，纳入施工期间材料价格算术平均值的计算</w:t>
      </w:r>
    </w:p>
    <w:p w14:paraId="230895E7">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xiv.本工程风险：①投标人应先到工地踏勘以充分了解工地位置、道路、储存空间、装卸限制等任何其它足以影响报价的情况，任何因忽视或误解工地情况而导致的索赔或工期延长申请将不获批准；②投标人的投标报价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招标人有权修改该工程的量、项等相关内容，中标人必须无条件接受，并不得因此要求招标人在招标文件规定以外的计价原则另行计价，各投标人须充分考虑由此产生的风险及费用</w:t>
      </w:r>
    </w:p>
    <w:p w14:paraId="5101DA64">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14:paraId="5A599B26">
      <w:pPr>
        <w:widowControl/>
        <w:shd w:val="clear" w:color="auto" w:fill="FFFFFF"/>
        <w:wordWrap w:val="0"/>
        <w:spacing w:line="420" w:lineRule="atLeast"/>
        <w:jc w:val="left"/>
        <w:rPr>
          <w:rFonts w:hint="eastAsia" w:ascii="宋体" w:hAnsi="宋体" w:eastAsia="宋体" w:cs="宋体"/>
          <w:color w:val="333333"/>
          <w:kern w:val="0"/>
          <w:szCs w:val="21"/>
          <w:shd w:val="clear" w:color="auto" w:fill="FFFFFF"/>
          <w:lang w:val="en-US" w:eastAsia="zh-CN"/>
        </w:rPr>
      </w:pPr>
      <w:r>
        <w:rPr>
          <w:rFonts w:hint="eastAsia" w:ascii="宋体" w:hAnsi="宋体" w:eastAsia="宋体" w:cs="宋体"/>
          <w:color w:val="333333"/>
          <w:kern w:val="0"/>
          <w:szCs w:val="21"/>
          <w:shd w:val="clear" w:color="auto" w:fill="FFFFFF"/>
          <w:lang w:val="en-US" w:eastAsia="zh-CN"/>
        </w:rPr>
        <w:t>xxvi.本工程设置投标总报价最高限价，本工程投标总报价最高限价为：924923.27元（大写：玖拾贰万肆仟玖佰贰拾叁元贰角柒分）。大于招标最高限价的为无效报价，其投标文件作否决投标处理。</w:t>
      </w:r>
    </w:p>
    <w:p w14:paraId="2FDD5F01">
      <w:pPr>
        <w:spacing w:line="440" w:lineRule="exact"/>
        <w:jc w:val="left"/>
        <w:outlineLvl w:val="0"/>
        <w:rPr>
          <w:rFonts w:hint="eastAsia" w:ascii="宋体" w:hAnsi="宋体" w:cs="宋体"/>
          <w:szCs w:val="21"/>
        </w:rPr>
      </w:pPr>
      <w:r>
        <w:rPr>
          <w:rFonts w:hint="eastAsia" w:ascii="宋体" w:hAnsi="宋体" w:eastAsia="宋体" w:cs="宋体"/>
          <w:color w:val="333333"/>
          <w:kern w:val="0"/>
          <w:szCs w:val="21"/>
          <w:shd w:val="clear" w:color="auto" w:fill="FFFFFF"/>
          <w:lang w:val="en-US" w:eastAsia="zh-CN"/>
        </w:rPr>
        <w:t>本工程招标将设置全部工程量清单综合单价最高限价，投标人的每项清单综合单价报价不得超过每项清单综合单价最高限价，所有分部分项工程量清单综合单价报价最高限价详见附件。</w:t>
      </w:r>
    </w:p>
    <w:p w14:paraId="09CEB6DE">
      <w:pPr>
        <w:numPr>
          <w:ilvl w:val="0"/>
          <w:numId w:val="2"/>
        </w:num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竞争性谈判办法</w:t>
      </w:r>
    </w:p>
    <w:p w14:paraId="3B32FC3B">
      <w:pPr>
        <w:spacing w:after="24" w:afterLines="10" w:line="400" w:lineRule="exact"/>
        <w:ind w:firstLine="420" w:firstLineChars="200"/>
        <w:jc w:val="left"/>
        <w:rPr>
          <w:rStyle w:val="23"/>
          <w:rFonts w:hint="eastAsia" w:ascii="宋体" w:hAnsi="宋体" w:cs="宋体"/>
          <w:color w:val="auto"/>
          <w:kern w:val="0"/>
        </w:rPr>
      </w:pPr>
      <w:r>
        <w:rPr>
          <w:rFonts w:hint="eastAsia" w:ascii="宋体" w:hAnsi="宋体" w:cs="宋体"/>
          <w:szCs w:val="21"/>
        </w:rPr>
        <w:t>5.1</w:t>
      </w:r>
      <w:r>
        <w:rPr>
          <w:rFonts w:hint="eastAsia" w:ascii="宋体" w:hAnsi="宋体" w:cs="Tahoma"/>
          <w:szCs w:val="21"/>
        </w:rPr>
        <w:t>本次竞争性谈判采取</w:t>
      </w:r>
      <w:r>
        <w:rPr>
          <w:rStyle w:val="23"/>
          <w:rFonts w:ascii="宋体" w:hAnsi="宋体" w:cs="宋体"/>
          <w:color w:val="auto"/>
          <w:kern w:val="0"/>
        </w:rPr>
        <w:t>综合评分法</w:t>
      </w:r>
      <w:r>
        <w:rPr>
          <w:rStyle w:val="23"/>
          <w:rFonts w:hint="eastAsia" w:ascii="宋体" w:hAnsi="宋体" w:cs="宋体"/>
          <w:color w:val="auto"/>
          <w:kern w:val="0"/>
        </w:rPr>
        <w:t>。</w:t>
      </w:r>
    </w:p>
    <w:p w14:paraId="0FB8B5F8">
      <w:pPr>
        <w:numPr>
          <w:ilvl w:val="0"/>
          <w:numId w:val="3"/>
        </w:num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对报价不高于最高限价的所有竞选人的谈判文件，进入符合性审查。</w:t>
      </w:r>
    </w:p>
    <w:p w14:paraId="3397B13F">
      <w:pPr>
        <w:numPr>
          <w:ilvl w:val="0"/>
          <w:numId w:val="3"/>
        </w:num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符合性审查合格的竞选人中，综合评分最高的成为第一成交候选人，综合评分次高的成为第二成交候选人，依次类推。</w:t>
      </w:r>
      <w:r>
        <w:rPr>
          <w:rFonts w:hint="eastAsia"/>
        </w:rPr>
        <w:t>综合评分相等时，以投标总报价低的优先。</w:t>
      </w:r>
    </w:p>
    <w:p w14:paraId="14069B64">
      <w:pPr>
        <w:numPr>
          <w:ilvl w:val="0"/>
          <w:numId w:val="3"/>
        </w:numPr>
        <w:spacing w:after="24" w:afterLines="10" w:line="400" w:lineRule="exact"/>
        <w:ind w:firstLine="420" w:firstLineChars="200"/>
        <w:jc w:val="left"/>
        <w:rPr>
          <w:rFonts w:hint="eastAsia" w:ascii="宋体" w:hAnsi="宋体"/>
          <w:kern w:val="0"/>
          <w:szCs w:val="21"/>
        </w:rPr>
      </w:pPr>
      <w:r>
        <w:rPr>
          <w:rFonts w:hint="eastAsia" w:ascii="宋体" w:hAnsi="宋体"/>
          <w:kern w:val="0"/>
          <w:szCs w:val="21"/>
        </w:rPr>
        <w:t>因谈判小组作否决处理，导致有效供应商不足三个的，谈判小组应当否决所有谈判文件。</w:t>
      </w:r>
    </w:p>
    <w:p w14:paraId="749619B0">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6.竞争性谈判文件的获取</w:t>
      </w:r>
      <w:bookmarkEnd w:id="42"/>
      <w:bookmarkEnd w:id="43"/>
      <w:bookmarkEnd w:id="44"/>
      <w:bookmarkEnd w:id="45"/>
      <w:bookmarkEnd w:id="46"/>
      <w:bookmarkEnd w:id="47"/>
      <w:bookmarkEnd w:id="48"/>
      <w:bookmarkEnd w:id="49"/>
      <w:bookmarkEnd w:id="50"/>
      <w:bookmarkEnd w:id="51"/>
    </w:p>
    <w:p w14:paraId="03ACD27D">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color w:val="auto"/>
          <w:szCs w:val="21"/>
        </w:rPr>
      </w:pPr>
      <w:bookmarkStart w:id="52" w:name="_Toc21446"/>
      <w:bookmarkStart w:id="53" w:name="_Toc4653"/>
      <w:bookmarkStart w:id="54" w:name="_Toc24060"/>
      <w:bookmarkStart w:id="55" w:name="_Toc784"/>
      <w:bookmarkStart w:id="56" w:name="_Toc1075"/>
      <w:bookmarkStart w:id="57" w:name="_Toc5692"/>
      <w:r>
        <w:rPr>
          <w:rFonts w:hint="eastAsia" w:ascii="宋体" w:hAnsi="宋体" w:cs="宋体"/>
          <w:szCs w:val="21"/>
        </w:rPr>
        <w:t>6.1 凡有意参加竞争性谈判者，请于北京</w:t>
      </w:r>
      <w:r>
        <w:rPr>
          <w:rFonts w:hint="eastAsia" w:ascii="宋体" w:hAnsi="宋体" w:cs="宋体"/>
          <w:color w:val="auto"/>
          <w:szCs w:val="21"/>
        </w:rPr>
        <w:t>时间</w:t>
      </w:r>
      <w:r>
        <w:rPr>
          <w:rFonts w:hint="eastAsia" w:ascii="宋体" w:hAnsi="宋体" w:cs="宋体"/>
          <w:color w:val="auto"/>
          <w:szCs w:val="21"/>
          <w:u w:val="single"/>
          <w:lang w:bidi="ar"/>
        </w:rPr>
        <w:t>2025</w:t>
      </w:r>
      <w:r>
        <w:rPr>
          <w:rFonts w:hint="eastAsia" w:ascii="宋体" w:hAnsi="宋体" w:cs="宋体"/>
          <w:color w:val="auto"/>
          <w:szCs w:val="21"/>
          <w:lang w:bidi="ar"/>
        </w:rPr>
        <w:t>年</w:t>
      </w:r>
      <w:r>
        <w:rPr>
          <w:rFonts w:hint="eastAsia" w:ascii="宋体" w:hAnsi="宋体" w:cs="宋体"/>
          <w:color w:val="auto"/>
          <w:szCs w:val="21"/>
          <w:u w:val="single"/>
          <w:lang w:bidi="ar"/>
        </w:rPr>
        <w:t>12</w:t>
      </w:r>
      <w:r>
        <w:rPr>
          <w:rFonts w:hint="eastAsia" w:ascii="宋体" w:hAnsi="宋体" w:cs="宋体"/>
          <w:color w:val="auto"/>
          <w:szCs w:val="21"/>
          <w:lang w:bidi="ar"/>
        </w:rPr>
        <w:t>月</w:t>
      </w:r>
      <w:r>
        <w:rPr>
          <w:rFonts w:hint="eastAsia" w:ascii="宋体" w:hAnsi="宋体" w:cs="宋体"/>
          <w:color w:val="auto"/>
          <w:szCs w:val="21"/>
          <w:u w:val="single"/>
          <w:lang w:bidi="ar"/>
        </w:rPr>
        <w:t>24</w:t>
      </w:r>
      <w:r>
        <w:rPr>
          <w:rFonts w:hint="eastAsia" w:ascii="宋体" w:hAnsi="宋体" w:cs="宋体"/>
          <w:color w:val="auto"/>
          <w:szCs w:val="21"/>
          <w:lang w:bidi="ar"/>
        </w:rPr>
        <w:t>日至</w:t>
      </w:r>
      <w:r>
        <w:rPr>
          <w:rFonts w:hint="eastAsia" w:ascii="宋体" w:hAnsi="宋体" w:cs="宋体"/>
          <w:color w:val="auto"/>
          <w:szCs w:val="21"/>
          <w:u w:val="single"/>
          <w:lang w:bidi="ar"/>
        </w:rPr>
        <w:t>2025</w:t>
      </w:r>
      <w:r>
        <w:rPr>
          <w:rFonts w:hint="eastAsia" w:ascii="宋体" w:hAnsi="宋体" w:cs="宋体"/>
          <w:color w:val="auto"/>
          <w:szCs w:val="21"/>
          <w:lang w:bidi="ar"/>
        </w:rPr>
        <w:t xml:space="preserve">年 </w:t>
      </w:r>
      <w:r>
        <w:rPr>
          <w:rFonts w:hint="eastAsia" w:ascii="宋体" w:hAnsi="宋体" w:cs="宋体"/>
          <w:color w:val="auto"/>
          <w:szCs w:val="21"/>
          <w:u w:val="single"/>
          <w:lang w:bidi="ar"/>
        </w:rPr>
        <w:t>12</w:t>
      </w:r>
      <w:r>
        <w:rPr>
          <w:rFonts w:hint="eastAsia" w:ascii="宋体" w:hAnsi="宋体" w:cs="宋体"/>
          <w:color w:val="auto"/>
          <w:szCs w:val="21"/>
          <w:lang w:bidi="ar"/>
        </w:rPr>
        <w:t>月</w:t>
      </w:r>
      <w:r>
        <w:rPr>
          <w:rFonts w:hint="eastAsia" w:ascii="宋体" w:hAnsi="宋体" w:cs="宋体"/>
          <w:color w:val="auto"/>
          <w:szCs w:val="21"/>
          <w:u w:val="single"/>
          <w:lang w:bidi="ar"/>
        </w:rPr>
        <w:t>28</w:t>
      </w:r>
      <w:r>
        <w:rPr>
          <w:rFonts w:hint="eastAsia" w:ascii="宋体" w:hAnsi="宋体" w:cs="宋体"/>
          <w:color w:val="auto"/>
          <w:szCs w:val="21"/>
          <w:lang w:bidi="ar"/>
        </w:rPr>
        <w:t>日</w:t>
      </w:r>
      <w:r>
        <w:rPr>
          <w:rFonts w:hint="eastAsia" w:ascii="宋体" w:hAnsi="宋体" w:cs="宋体"/>
          <w:color w:val="auto"/>
          <w:szCs w:val="21"/>
        </w:rPr>
        <w:t>，每日9:00时至17:00时通过6.2载明的方式获取竞争性谈判文件。</w:t>
      </w:r>
    </w:p>
    <w:p w14:paraId="2C9BE19F">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color w:val="auto"/>
          <w:szCs w:val="21"/>
        </w:rPr>
      </w:pPr>
      <w:r>
        <w:rPr>
          <w:rFonts w:hint="eastAsia" w:ascii="宋体" w:hAnsi="宋体" w:cs="宋体"/>
          <w:color w:val="auto"/>
          <w:szCs w:val="21"/>
        </w:rPr>
        <w:t>6.2</w:t>
      </w:r>
      <w:r>
        <w:rPr>
          <w:rFonts w:ascii="宋体" w:hAnsi="宋体" w:cs="宋体"/>
          <w:color w:val="auto"/>
          <w:szCs w:val="21"/>
        </w:rPr>
        <w:t xml:space="preserve"> </w:t>
      </w:r>
      <w:r>
        <w:rPr>
          <w:rFonts w:hint="eastAsia" w:ascii="宋体" w:hAnsi="宋体" w:cs="宋体"/>
          <w:color w:val="auto"/>
          <w:szCs w:val="21"/>
        </w:rPr>
        <w:t>取得竞争性谈判文件的方式：</w:t>
      </w:r>
    </w:p>
    <w:p w14:paraId="17094F90">
      <w:pPr>
        <w:spacing w:line="440" w:lineRule="exact"/>
        <w:ind w:firstLine="424" w:firstLineChars="202"/>
        <w:rPr>
          <w:rFonts w:hint="eastAsia" w:ascii="宋体" w:hAnsi="宋体"/>
          <w:color w:val="auto"/>
          <w:szCs w:val="21"/>
        </w:rPr>
      </w:pPr>
      <w:r>
        <w:rPr>
          <w:rFonts w:hint="eastAsia" w:ascii="宋体" w:hAnsi="宋体"/>
          <w:color w:val="auto"/>
          <w:szCs w:val="21"/>
        </w:rPr>
        <w:t>采   购</w:t>
      </w:r>
      <w:r>
        <w:rPr>
          <w:rFonts w:ascii="宋体" w:hAnsi="宋体"/>
          <w:color w:val="auto"/>
          <w:szCs w:val="21"/>
        </w:rPr>
        <w:t xml:space="preserve">   人：</w:t>
      </w:r>
      <w:r>
        <w:rPr>
          <w:rFonts w:hint="eastAsia" w:ascii="宋体" w:hAnsi="宋体"/>
          <w:color w:val="auto"/>
          <w:szCs w:val="21"/>
        </w:rPr>
        <w:t>重庆国际复合材料股份有限公司</w:t>
      </w:r>
    </w:p>
    <w:p w14:paraId="61530B34">
      <w:pPr>
        <w:spacing w:line="440" w:lineRule="exact"/>
        <w:ind w:firstLine="424" w:firstLineChars="202"/>
        <w:rPr>
          <w:rFonts w:hint="eastAsia" w:ascii="宋体" w:hAnsi="宋体"/>
          <w:color w:val="auto"/>
          <w:szCs w:val="21"/>
        </w:rPr>
      </w:pPr>
      <w:r>
        <w:rPr>
          <w:rFonts w:ascii="宋体" w:hAnsi="宋体"/>
          <w:color w:val="auto"/>
          <w:szCs w:val="21"/>
        </w:rPr>
        <w:t xml:space="preserve">办 </w:t>
      </w:r>
      <w:r>
        <w:rPr>
          <w:rFonts w:hint="eastAsia" w:ascii="宋体" w:hAnsi="宋体"/>
          <w:color w:val="auto"/>
          <w:szCs w:val="21"/>
        </w:rPr>
        <w:t xml:space="preserve"> </w:t>
      </w:r>
      <w:r>
        <w:rPr>
          <w:rFonts w:ascii="宋体" w:hAnsi="宋体"/>
          <w:color w:val="auto"/>
          <w:szCs w:val="21"/>
        </w:rPr>
        <w:t>公 地 址：</w:t>
      </w:r>
      <w:r>
        <w:rPr>
          <w:rFonts w:hint="eastAsia" w:ascii="宋体" w:hAnsi="宋体"/>
          <w:color w:val="auto"/>
          <w:szCs w:val="21"/>
        </w:rPr>
        <w:t>重庆市大渡口区建桥工业园</w:t>
      </w:r>
      <w:r>
        <w:rPr>
          <w:rFonts w:ascii="宋体" w:hAnsi="宋体"/>
          <w:color w:val="auto"/>
          <w:szCs w:val="21"/>
        </w:rPr>
        <w:t>B</w:t>
      </w:r>
      <w:r>
        <w:rPr>
          <w:rFonts w:hint="eastAsia" w:ascii="宋体" w:hAnsi="宋体"/>
          <w:color w:val="auto"/>
          <w:szCs w:val="21"/>
        </w:rPr>
        <w:t>区</w:t>
      </w:r>
    </w:p>
    <w:p w14:paraId="2230E126">
      <w:pPr>
        <w:spacing w:line="440" w:lineRule="exact"/>
        <w:ind w:firstLine="424" w:firstLineChars="202"/>
        <w:rPr>
          <w:rFonts w:hint="eastAsia" w:ascii="宋体" w:hAnsi="宋体" w:cs="宋体"/>
          <w:color w:val="auto"/>
          <w:szCs w:val="21"/>
        </w:rPr>
      </w:pPr>
      <w:r>
        <w:rPr>
          <w:rFonts w:ascii="宋体" w:hAnsi="宋体"/>
          <w:color w:val="auto"/>
          <w:szCs w:val="21"/>
        </w:rPr>
        <w:t>联   系   人：</w:t>
      </w:r>
      <w:r>
        <w:rPr>
          <w:rFonts w:hint="eastAsia" w:ascii="宋体" w:hAnsi="宋体"/>
          <w:color w:val="auto"/>
          <w:szCs w:val="21"/>
          <w:u w:val="single"/>
        </w:rPr>
        <w:t xml:space="preserve">     杨老师    </w:t>
      </w:r>
      <w:r>
        <w:rPr>
          <w:rFonts w:hint="eastAsia" w:ascii="宋体" w:hAnsi="宋体"/>
          <w:color w:val="auto"/>
          <w:szCs w:val="21"/>
        </w:rPr>
        <w:t xml:space="preserve"> </w:t>
      </w:r>
      <w:r>
        <w:rPr>
          <w:rFonts w:ascii="宋体" w:hAnsi="宋体"/>
          <w:color w:val="auto"/>
          <w:szCs w:val="21"/>
        </w:rPr>
        <w:t>联系电话：</w:t>
      </w:r>
      <w:r>
        <w:rPr>
          <w:rFonts w:hint="eastAsia" w:ascii="宋体" w:hAnsi="宋体"/>
          <w:color w:val="auto"/>
          <w:szCs w:val="21"/>
          <w:u w:val="single"/>
        </w:rPr>
        <w:t xml:space="preserve"> 18983993055</w:t>
      </w:r>
    </w:p>
    <w:p w14:paraId="0ED74C93">
      <w:pPr>
        <w:spacing w:line="440" w:lineRule="exact"/>
        <w:ind w:firstLine="424" w:firstLineChars="202"/>
        <w:rPr>
          <w:rFonts w:hint="eastAsia" w:ascii="宋体" w:hAnsi="宋体" w:cs="宋体"/>
          <w:color w:val="auto"/>
          <w:szCs w:val="21"/>
        </w:rPr>
      </w:pPr>
      <w:r>
        <w:rPr>
          <w:rFonts w:hint="eastAsia" w:ascii="宋体" w:hAnsi="宋体" w:cs="宋体"/>
          <w:color w:val="auto"/>
          <w:szCs w:val="21"/>
        </w:rPr>
        <w:t>技 术 联系人：</w:t>
      </w:r>
      <w:r>
        <w:rPr>
          <w:rFonts w:hint="eastAsia" w:ascii="宋体" w:hAnsi="宋体"/>
          <w:color w:val="auto"/>
          <w:szCs w:val="21"/>
          <w:u w:val="single"/>
        </w:rPr>
        <w:t xml:space="preserve">     罗老师    </w:t>
      </w:r>
      <w:r>
        <w:rPr>
          <w:rFonts w:hint="eastAsia" w:ascii="宋体" w:hAnsi="宋体"/>
          <w:color w:val="auto"/>
          <w:szCs w:val="21"/>
        </w:rPr>
        <w:t xml:space="preserve"> </w:t>
      </w:r>
      <w:r>
        <w:rPr>
          <w:rFonts w:ascii="宋体" w:hAnsi="宋体"/>
          <w:color w:val="auto"/>
          <w:szCs w:val="21"/>
        </w:rPr>
        <w:t>联系电话</w:t>
      </w:r>
      <w:r>
        <w:rPr>
          <w:rFonts w:hint="eastAsia" w:ascii="宋体" w:hAnsi="宋体"/>
          <w:color w:val="auto"/>
          <w:szCs w:val="21"/>
        </w:rPr>
        <w:t>：</w:t>
      </w:r>
      <w:r>
        <w:rPr>
          <w:rFonts w:hint="eastAsia" w:ascii="宋体" w:hAnsi="宋体"/>
          <w:color w:val="auto"/>
          <w:szCs w:val="21"/>
          <w:u w:val="single"/>
        </w:rPr>
        <w:t xml:space="preserve"> 17708337370</w:t>
      </w:r>
    </w:p>
    <w:p w14:paraId="76D9DA46">
      <w:pPr>
        <w:spacing w:line="440" w:lineRule="exact"/>
        <w:jc w:val="left"/>
        <w:outlineLvl w:val="0"/>
        <w:rPr>
          <w:rFonts w:hint="eastAsia" w:ascii="宋体" w:hAnsi="宋体"/>
          <w:b/>
          <w:snapToGrid w:val="0"/>
          <w:color w:val="auto"/>
          <w:kern w:val="0"/>
          <w:szCs w:val="21"/>
        </w:rPr>
      </w:pPr>
      <w:bookmarkStart w:id="58" w:name="_Toc1637"/>
      <w:bookmarkStart w:id="59" w:name="_Toc4674"/>
      <w:bookmarkStart w:id="60" w:name="_Toc4279"/>
      <w:bookmarkStart w:id="61" w:name="_Toc20721"/>
      <w:r>
        <w:rPr>
          <w:rFonts w:hint="eastAsia" w:ascii="宋体" w:hAnsi="宋体"/>
          <w:b/>
          <w:snapToGrid w:val="0"/>
          <w:color w:val="auto"/>
          <w:kern w:val="0"/>
          <w:szCs w:val="21"/>
        </w:rPr>
        <w:t>7. 谈判文件的递交</w:t>
      </w:r>
      <w:bookmarkEnd w:id="52"/>
      <w:bookmarkEnd w:id="53"/>
      <w:bookmarkEnd w:id="54"/>
      <w:bookmarkEnd w:id="55"/>
      <w:bookmarkEnd w:id="56"/>
      <w:bookmarkEnd w:id="57"/>
      <w:bookmarkEnd w:id="58"/>
      <w:bookmarkEnd w:id="59"/>
      <w:bookmarkEnd w:id="60"/>
      <w:bookmarkEnd w:id="61"/>
    </w:p>
    <w:p w14:paraId="4C1948C6">
      <w:pPr>
        <w:tabs>
          <w:tab w:val="left" w:pos="1425"/>
        </w:tabs>
        <w:spacing w:line="440" w:lineRule="exact"/>
        <w:rPr>
          <w:rFonts w:hint="eastAsia" w:ascii="宋体" w:hAnsi="宋体" w:cs="宋体"/>
          <w:szCs w:val="21"/>
        </w:rPr>
      </w:pPr>
      <w:bookmarkStart w:id="62" w:name="_Toc29375"/>
      <w:bookmarkStart w:id="63" w:name="_Toc21549"/>
      <w:bookmarkStart w:id="64" w:name="_Toc3503"/>
      <w:bookmarkStart w:id="65" w:name="_Toc18035"/>
      <w:bookmarkStart w:id="66" w:name="_Toc4477"/>
      <w:bookmarkStart w:id="67" w:name="_Toc12357"/>
      <w:r>
        <w:rPr>
          <w:rFonts w:hint="eastAsia" w:ascii="宋体" w:hAnsi="宋体" w:cs="宋体"/>
          <w:snapToGrid w:val="0"/>
          <w:color w:val="auto"/>
          <w:kern w:val="0"/>
          <w:szCs w:val="21"/>
        </w:rPr>
        <w:t>7.1</w:t>
      </w:r>
      <w:r>
        <w:rPr>
          <w:rFonts w:hint="eastAsia" w:ascii="宋体" w:hAnsi="宋体" w:cs="宋体"/>
          <w:color w:val="auto"/>
          <w:szCs w:val="21"/>
        </w:rPr>
        <w:t>谈判文件递交截止时间：</w:t>
      </w:r>
      <w:r>
        <w:rPr>
          <w:rFonts w:hint="eastAsia" w:ascii="宋体" w:hAnsi="宋体" w:cs="宋体"/>
          <w:color w:val="auto"/>
          <w:szCs w:val="21"/>
          <w:u w:val="single"/>
          <w:lang w:bidi="ar"/>
        </w:rPr>
        <w:t>2025</w:t>
      </w:r>
      <w:r>
        <w:rPr>
          <w:rFonts w:hint="eastAsia" w:ascii="宋体" w:hAnsi="宋体" w:cs="宋体"/>
          <w:color w:val="auto"/>
          <w:szCs w:val="21"/>
          <w:lang w:bidi="ar"/>
        </w:rPr>
        <w:t>年</w:t>
      </w:r>
      <w:r>
        <w:rPr>
          <w:rFonts w:hint="eastAsia" w:ascii="宋体" w:hAnsi="宋体" w:cs="宋体"/>
          <w:color w:val="auto"/>
          <w:szCs w:val="21"/>
          <w:u w:val="single"/>
          <w:lang w:bidi="ar"/>
        </w:rPr>
        <w:t>12</w:t>
      </w:r>
      <w:r>
        <w:rPr>
          <w:rFonts w:hint="eastAsia" w:ascii="宋体" w:hAnsi="宋体" w:cs="宋体"/>
          <w:color w:val="auto"/>
          <w:szCs w:val="21"/>
          <w:lang w:bidi="ar"/>
        </w:rPr>
        <w:t xml:space="preserve">月 </w:t>
      </w:r>
      <w:r>
        <w:rPr>
          <w:rFonts w:hint="eastAsia" w:ascii="宋体" w:hAnsi="宋体" w:cs="宋体"/>
          <w:color w:val="auto"/>
          <w:szCs w:val="21"/>
          <w:u w:val="single"/>
          <w:lang w:bidi="ar"/>
        </w:rPr>
        <w:t>29</w:t>
      </w:r>
      <w:r>
        <w:rPr>
          <w:rFonts w:hint="eastAsia" w:ascii="宋体" w:hAnsi="宋体" w:cs="宋体"/>
          <w:color w:val="auto"/>
          <w:szCs w:val="21"/>
          <w:lang w:bidi="ar"/>
        </w:rPr>
        <w:t>日</w:t>
      </w:r>
      <w:r>
        <w:rPr>
          <w:rFonts w:ascii="宋体" w:hAnsi="宋体" w:cs="宋体"/>
          <w:color w:val="auto"/>
          <w:szCs w:val="21"/>
          <w:u w:val="single"/>
          <w:lang w:bidi="ar"/>
        </w:rPr>
        <w:t>10</w:t>
      </w:r>
      <w:r>
        <w:rPr>
          <w:rFonts w:hint="eastAsia" w:ascii="宋体" w:hAnsi="宋体" w:cs="宋体"/>
          <w:color w:val="auto"/>
          <w:szCs w:val="21"/>
          <w:lang w:bidi="ar"/>
        </w:rPr>
        <w:t>时</w:t>
      </w:r>
      <w:r>
        <w:rPr>
          <w:rFonts w:hint="eastAsia" w:ascii="宋体" w:hAnsi="宋体" w:cs="宋体"/>
          <w:color w:val="auto"/>
          <w:szCs w:val="21"/>
          <w:u w:val="single"/>
          <w:lang w:bidi="ar"/>
        </w:rPr>
        <w:t xml:space="preserve"> 00</w:t>
      </w:r>
      <w:r>
        <w:rPr>
          <w:rFonts w:hint="eastAsia" w:ascii="宋体" w:hAnsi="宋体" w:cs="宋体"/>
          <w:color w:val="auto"/>
          <w:szCs w:val="21"/>
          <w:lang w:bidi="ar"/>
        </w:rPr>
        <w:t>分</w:t>
      </w:r>
      <w:r>
        <w:rPr>
          <w:rFonts w:hint="eastAsia" w:ascii="宋体" w:hAnsi="宋体" w:cs="宋体"/>
          <w:szCs w:val="21"/>
        </w:rPr>
        <w:t>；递交地点为：重庆市大渡口区重庆国际复合材料股份有限公司。</w:t>
      </w:r>
    </w:p>
    <w:p w14:paraId="7921419C">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7.2 竞争性谈判时间：谈判文件截止之日后三个工作日内。</w:t>
      </w:r>
    </w:p>
    <w:p w14:paraId="45B20EC1">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7.3</w:t>
      </w:r>
      <w:r>
        <w:rPr>
          <w:rFonts w:ascii="宋体" w:hAnsi="宋体" w:cs="宋体"/>
          <w:szCs w:val="21"/>
        </w:rPr>
        <w:t xml:space="preserve"> </w:t>
      </w:r>
      <w:r>
        <w:rPr>
          <w:rFonts w:hint="eastAsia" w:ascii="宋体" w:hAnsi="宋体" w:cs="宋体"/>
          <w:szCs w:val="21"/>
        </w:rPr>
        <w:t>竞争性谈判地点：重庆市大渡口区重庆国际复合材料股份有限公司。</w:t>
      </w:r>
    </w:p>
    <w:p w14:paraId="40B162CF">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hint="eastAsia"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逾期送达的、未送达指定地点或不按照竞争性谈判文件要求密封的谈判文件，竞争性谈判单位不予受理。</w:t>
      </w:r>
    </w:p>
    <w:p w14:paraId="0B017622">
      <w:pPr>
        <w:pStyle w:val="2"/>
        <w:widowControl/>
      </w:pPr>
      <w:r>
        <w:rPr>
          <w:rFonts w:hint="eastAsia" w:ascii="宋体" w:hAnsi="宋体" w:cs="宋体"/>
          <w:szCs w:val="21"/>
        </w:rPr>
        <w:t>7.5竞选人谈判文件袋内需附带谈判文件扫描电子版U盘一份</w:t>
      </w:r>
    </w:p>
    <w:bookmarkEnd w:id="62"/>
    <w:bookmarkEnd w:id="63"/>
    <w:bookmarkEnd w:id="64"/>
    <w:bookmarkEnd w:id="65"/>
    <w:bookmarkEnd w:id="66"/>
    <w:bookmarkEnd w:id="67"/>
    <w:p w14:paraId="06D553D3">
      <w:pPr>
        <w:spacing w:line="440" w:lineRule="exact"/>
        <w:jc w:val="left"/>
        <w:outlineLvl w:val="0"/>
        <w:rPr>
          <w:rFonts w:hint="eastAsia" w:ascii="宋体" w:hAnsi="宋体"/>
          <w:b/>
          <w:snapToGrid w:val="0"/>
          <w:kern w:val="0"/>
          <w:szCs w:val="21"/>
        </w:rPr>
      </w:pPr>
      <w:bookmarkStart w:id="68" w:name="_Toc5392"/>
      <w:bookmarkStart w:id="69" w:name="_Toc4764"/>
      <w:bookmarkStart w:id="70" w:name="_Toc27658"/>
      <w:bookmarkStart w:id="71" w:name="_Toc9249"/>
      <w:r>
        <w:rPr>
          <w:rFonts w:hint="eastAsia" w:ascii="宋体" w:hAnsi="宋体"/>
          <w:b/>
          <w:snapToGrid w:val="0"/>
          <w:kern w:val="0"/>
          <w:szCs w:val="21"/>
        </w:rPr>
        <w:t>8. 发布公告的媒介</w:t>
      </w:r>
      <w:bookmarkEnd w:id="68"/>
      <w:bookmarkEnd w:id="69"/>
      <w:bookmarkEnd w:id="70"/>
      <w:bookmarkEnd w:id="71"/>
    </w:p>
    <w:p w14:paraId="1CD50099">
      <w:pPr>
        <w:spacing w:line="440" w:lineRule="exact"/>
        <w:ind w:firstLine="420"/>
        <w:jc w:val="left"/>
        <w:rPr>
          <w:rFonts w:hint="eastAsia" w:ascii="宋体" w:hAnsi="宋体"/>
          <w:szCs w:val="21"/>
        </w:rPr>
      </w:pPr>
      <w:bookmarkStart w:id="72" w:name="_Toc15696"/>
      <w:bookmarkStart w:id="73" w:name="_Toc17881"/>
      <w:bookmarkStart w:id="74" w:name="_Toc29368"/>
      <w:bookmarkStart w:id="75" w:name="_Toc10099"/>
      <w:bookmarkStart w:id="76" w:name="_Toc19026"/>
      <w:bookmarkStart w:id="77" w:name="_Toc15091"/>
      <w:r>
        <w:rPr>
          <w:rFonts w:hint="eastAsia" w:ascii="宋体" w:hAnsi="宋体" w:cs="宋体"/>
          <w:snapToGrid w:val="0"/>
          <w:kern w:val="0"/>
          <w:szCs w:val="21"/>
        </w:rPr>
        <w:t>本次竞争性谈判公告在</w:t>
      </w:r>
      <w:r>
        <w:rPr>
          <w:rFonts w:hint="eastAsia" w:ascii="宋体" w:hAnsi="宋体"/>
          <w:szCs w:val="21"/>
        </w:rPr>
        <w:t>重庆国际复合材料</w:t>
      </w:r>
      <w:r>
        <w:rPr>
          <w:rFonts w:ascii="宋体" w:hAnsi="宋体"/>
          <w:szCs w:val="21"/>
        </w:rPr>
        <w:t>股份有限公司（http://www.cpicfiber.com/）上发布。</w:t>
      </w:r>
    </w:p>
    <w:p w14:paraId="4E7987AF">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9.特别注意</w:t>
      </w:r>
    </w:p>
    <w:p w14:paraId="77D12736">
      <w:pPr>
        <w:spacing w:line="440" w:lineRule="exact"/>
        <w:jc w:val="left"/>
        <w:outlineLvl w:val="0"/>
        <w:rPr>
          <w:rFonts w:hint="eastAsia" w:ascii="宋体" w:hAnsi="宋体"/>
          <w:b/>
          <w:snapToGrid w:val="0"/>
          <w:kern w:val="0"/>
          <w:szCs w:val="21"/>
        </w:rPr>
      </w:pPr>
      <w:r>
        <w:rPr>
          <w:rFonts w:hint="eastAsia" w:ascii="宋体" w:hAnsi="宋体"/>
          <w:b/>
          <w:snapToGrid w:val="0"/>
          <w:kern w:val="0"/>
          <w:szCs w:val="21"/>
        </w:rPr>
        <w:t>　　单位负责人为同一人或者存在控股、管理关系的不同单位，不得同时参加本次竞争性谈判。</w:t>
      </w:r>
    </w:p>
    <w:p w14:paraId="418A82FD">
      <w:pPr>
        <w:spacing w:line="440" w:lineRule="exact"/>
        <w:jc w:val="left"/>
        <w:outlineLvl w:val="0"/>
        <w:rPr>
          <w:rFonts w:hint="eastAsia" w:ascii="宋体" w:hAnsi="宋体"/>
          <w:b/>
          <w:snapToGrid w:val="0"/>
          <w:kern w:val="0"/>
          <w:szCs w:val="21"/>
        </w:rPr>
      </w:pPr>
      <w:bookmarkStart w:id="78" w:name="_Toc4445"/>
      <w:bookmarkStart w:id="79" w:name="_Toc29627"/>
      <w:bookmarkStart w:id="80" w:name="_Toc30129"/>
      <w:bookmarkStart w:id="81" w:name="_Toc11677"/>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14:paraId="6F267B4E">
      <w:pPr>
        <w:spacing w:line="440" w:lineRule="exact"/>
        <w:ind w:firstLine="424" w:firstLineChars="202"/>
        <w:rPr>
          <w:rFonts w:hint="eastAsia"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1F175578">
      <w:pPr>
        <w:spacing w:line="440" w:lineRule="exact"/>
        <w:ind w:firstLine="424" w:firstLineChars="202"/>
        <w:rPr>
          <w:rFonts w:hint="eastAsia"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70435DF7">
      <w:pPr>
        <w:spacing w:line="440" w:lineRule="exact"/>
        <w:ind w:firstLine="424" w:firstLineChars="202"/>
        <w:rPr>
          <w:rFonts w:hint="eastAsia" w:ascii="宋体" w:hAnsi="宋体"/>
          <w:szCs w:val="21"/>
        </w:rPr>
      </w:pPr>
      <w:r>
        <w:rPr>
          <w:rFonts w:ascii="宋体" w:hAnsi="宋体"/>
          <w:szCs w:val="21"/>
        </w:rPr>
        <w:t>联系人：</w:t>
      </w:r>
      <w:bookmarkEnd w:id="6"/>
      <w:bookmarkEnd w:id="7"/>
      <w:bookmarkEnd w:id="8"/>
      <w:bookmarkEnd w:id="9"/>
      <w:bookmarkEnd w:id="10"/>
      <w:bookmarkEnd w:id="11"/>
      <w:r>
        <w:rPr>
          <w:rFonts w:hint="eastAsia" w:ascii="宋体" w:hAnsi="宋体"/>
          <w:szCs w:val="21"/>
        </w:rPr>
        <w:t>杨老师</w:t>
      </w:r>
    </w:p>
    <w:p w14:paraId="63B5BF94">
      <w:pPr>
        <w:spacing w:line="440" w:lineRule="exact"/>
        <w:ind w:firstLine="424" w:firstLineChars="202"/>
        <w:rPr>
          <w:rFonts w:hint="eastAsia" w:ascii="宋体" w:hAnsi="宋体"/>
          <w:szCs w:val="21"/>
        </w:rPr>
      </w:pPr>
      <w:r>
        <w:rPr>
          <w:rFonts w:ascii="宋体" w:hAnsi="宋体"/>
          <w:szCs w:val="21"/>
        </w:rPr>
        <w:t>联系电话：</w:t>
      </w:r>
      <w:r>
        <w:rPr>
          <w:rFonts w:hint="eastAsia" w:ascii="宋体" w:hAnsi="宋体"/>
          <w:szCs w:val="21"/>
        </w:rPr>
        <w:t>18983993055</w:t>
      </w:r>
    </w:p>
    <w:p w14:paraId="5E54D88A">
      <w:pPr>
        <w:spacing w:line="440" w:lineRule="exact"/>
        <w:ind w:firstLine="424" w:firstLineChars="202"/>
        <w:rPr>
          <w:rFonts w:hint="eastAsia" w:ascii="宋体" w:hAnsi="宋体"/>
          <w:szCs w:val="21"/>
        </w:rPr>
      </w:pPr>
      <w:r>
        <w:rPr>
          <w:rFonts w:hint="eastAsia" w:ascii="宋体" w:hAnsi="宋体"/>
          <w:szCs w:val="21"/>
        </w:rPr>
        <w:t>监督人：重庆国际复合材料股份有限公司</w:t>
      </w:r>
    </w:p>
    <w:p w14:paraId="7A536E23">
      <w:pPr>
        <w:spacing w:line="440" w:lineRule="exact"/>
        <w:ind w:firstLine="424" w:firstLineChars="202"/>
        <w:rPr>
          <w:rFonts w:hint="eastAsia" w:ascii="宋体" w:hAnsi="宋体"/>
          <w:szCs w:val="21"/>
        </w:rPr>
      </w:pPr>
      <w:r>
        <w:rPr>
          <w:rFonts w:hint="eastAsia" w:ascii="宋体" w:hAnsi="宋体"/>
          <w:szCs w:val="21"/>
        </w:rPr>
        <w:t>地址：重庆市大渡口区建桥工业园B区</w:t>
      </w:r>
    </w:p>
    <w:p w14:paraId="4D73FC11">
      <w:pPr>
        <w:spacing w:line="440" w:lineRule="exact"/>
        <w:ind w:firstLine="424" w:firstLineChars="202"/>
        <w:rPr>
          <w:rFonts w:hint="eastAsia" w:ascii="宋体" w:hAnsi="宋体"/>
          <w:szCs w:val="21"/>
        </w:rPr>
      </w:pPr>
      <w:r>
        <w:rPr>
          <w:rFonts w:hint="eastAsia" w:ascii="宋体" w:hAnsi="宋体"/>
          <w:szCs w:val="21"/>
        </w:rPr>
        <w:t>联系人：付老师</w:t>
      </w:r>
    </w:p>
    <w:p w14:paraId="0357DAD2">
      <w:pPr>
        <w:spacing w:line="440" w:lineRule="exact"/>
        <w:ind w:firstLine="424" w:firstLineChars="202"/>
        <w:rPr>
          <w:rFonts w:hint="eastAsia" w:ascii="宋体" w:hAnsi="宋体"/>
          <w:szCs w:val="21"/>
        </w:rPr>
      </w:pPr>
      <w:r>
        <w:rPr>
          <w:rFonts w:hint="eastAsia" w:ascii="宋体" w:hAnsi="宋体"/>
          <w:szCs w:val="21"/>
        </w:rPr>
        <w:t>联系电话：023-68536643</w:t>
      </w:r>
    </w:p>
    <w:p w14:paraId="5E6FF772">
      <w:pPr>
        <w:spacing w:line="440" w:lineRule="exact"/>
        <w:ind w:firstLine="424" w:firstLineChars="202"/>
        <w:rPr>
          <w:rFonts w:hint="eastAsia" w:ascii="宋体" w:hAnsi="宋体"/>
          <w:szCs w:val="21"/>
        </w:rPr>
      </w:pPr>
      <w:r>
        <w:rPr>
          <w:rFonts w:hint="eastAsia" w:ascii="宋体" w:hAnsi="宋体"/>
          <w:szCs w:val="21"/>
        </w:rPr>
        <w:t>邮箱：fuwei4253@cpicfiber.com</w:t>
      </w:r>
    </w:p>
    <w:p w14:paraId="5C653AE9">
      <w:pPr>
        <w:rPr>
          <w:rFonts w:hint="eastAsia" w:ascii="宋体" w:hAnsi="宋体"/>
        </w:rPr>
      </w:pPr>
      <w:r>
        <w:rPr>
          <w:rFonts w:hint="eastAsia" w:ascii="宋体" w:hAnsi="宋体"/>
        </w:rPr>
        <w:br w:type="page"/>
      </w:r>
    </w:p>
    <w:p w14:paraId="11617F58">
      <w:pPr>
        <w:pStyle w:val="3"/>
        <w:spacing w:before="240" w:beforeLines="100" w:after="360" w:afterLines="150" w:line="276" w:lineRule="auto"/>
        <w:jc w:val="center"/>
        <w:rPr>
          <w:rFonts w:hint="eastAsia" w:ascii="宋体" w:hAnsi="宋体"/>
        </w:rPr>
      </w:pPr>
      <w:r>
        <w:rPr>
          <w:rFonts w:hint="eastAsia" w:ascii="宋体" w:hAnsi="宋体"/>
        </w:rPr>
        <w:t>第二章  采购内容</w:t>
      </w:r>
    </w:p>
    <w:p w14:paraId="5DC29D0C">
      <w:pPr>
        <w:spacing w:line="360" w:lineRule="auto"/>
        <w:ind w:firstLine="480" w:firstLineChars="200"/>
        <w:rPr>
          <w:rFonts w:hint="eastAsia" w:ascii="宋体" w:hAnsi="宋体"/>
          <w:kern w:val="0"/>
          <w:sz w:val="24"/>
        </w:rPr>
      </w:pPr>
      <w:r>
        <w:rPr>
          <w:rFonts w:hint="eastAsia" w:ascii="宋体" w:hAnsi="宋体"/>
          <w:kern w:val="0"/>
          <w:sz w:val="24"/>
        </w:rPr>
        <w:t>1．项目概况</w:t>
      </w:r>
    </w:p>
    <w:p w14:paraId="6FC05254">
      <w:pPr>
        <w:spacing w:line="360" w:lineRule="auto"/>
        <w:ind w:firstLine="420" w:firstLineChars="200"/>
        <w:rPr>
          <w:rFonts w:hint="eastAsia" w:ascii="宋体" w:hAnsi="宋体"/>
          <w:kern w:val="0"/>
          <w:sz w:val="24"/>
        </w:rPr>
      </w:pPr>
      <w:r>
        <w:rPr>
          <w:rFonts w:hint="eastAsia" w:ascii="宋体" w:hAnsi="宋体" w:cs="宋体"/>
          <w:kern w:val="0"/>
          <w:szCs w:val="21"/>
          <w:lang w:bidi="ar"/>
        </w:rPr>
        <w:t>在重庆国际复合材料股份有限公司（以下简称</w:t>
      </w:r>
      <w:r>
        <w:rPr>
          <w:rFonts w:ascii="宋体" w:hAnsi="宋体" w:cs="宋体"/>
          <w:kern w:val="0"/>
          <w:szCs w:val="21"/>
          <w:lang w:bidi="ar"/>
        </w:rPr>
        <w:t>CPIC）长寿厂区内，</w:t>
      </w:r>
      <w:r>
        <w:rPr>
          <w:rFonts w:hint="eastAsia" w:ascii="宋体" w:hAnsi="宋体" w:cs="宋体"/>
          <w:kern w:val="0"/>
          <w:szCs w:val="21"/>
          <w:lang w:bidi="ar"/>
        </w:rPr>
        <w:t>将</w:t>
      </w:r>
      <w:r>
        <w:rPr>
          <w:rFonts w:ascii="宋体" w:hAnsi="宋体" w:cs="宋体"/>
          <w:kern w:val="0"/>
          <w:szCs w:val="21"/>
          <w:lang w:bidi="ar"/>
        </w:rPr>
        <w:t>CPIC现有</w:t>
      </w:r>
      <w:r>
        <w:rPr>
          <w:rFonts w:hint="eastAsia" w:ascii="宋体" w:hAnsi="宋体" w:cs="宋体"/>
          <w:kern w:val="0"/>
          <w:szCs w:val="21"/>
          <w:lang w:bidi="ar"/>
        </w:rPr>
        <w:t>H05</w:t>
      </w:r>
      <w:r>
        <w:rPr>
          <w:rFonts w:ascii="宋体" w:hAnsi="宋体" w:cs="宋体"/>
          <w:kern w:val="0"/>
          <w:szCs w:val="21"/>
          <w:lang w:bidi="ar"/>
        </w:rPr>
        <w:t>线</w:t>
      </w:r>
      <w:r>
        <w:rPr>
          <w:rFonts w:hint="eastAsia" w:ascii="宋体" w:hAnsi="宋体" w:cs="宋体"/>
          <w:kern w:val="0"/>
          <w:szCs w:val="21"/>
          <w:lang w:bidi="ar"/>
        </w:rPr>
        <w:t>进行冷修并对部分土建、工艺、公用及控制系统进行改造升级。</w:t>
      </w:r>
    </w:p>
    <w:p w14:paraId="14F73DB9">
      <w:pPr>
        <w:spacing w:line="360" w:lineRule="auto"/>
        <w:ind w:firstLine="480" w:firstLineChars="200"/>
        <w:rPr>
          <w:rFonts w:hint="eastAsia" w:ascii="宋体" w:hAnsi="宋体"/>
          <w:kern w:val="0"/>
          <w:sz w:val="24"/>
        </w:rPr>
      </w:pPr>
      <w:r>
        <w:rPr>
          <w:rFonts w:hint="eastAsia" w:ascii="宋体" w:hAnsi="宋体"/>
          <w:kern w:val="0"/>
          <w:sz w:val="24"/>
        </w:rPr>
        <w:t>2</w:t>
      </w:r>
      <w:r>
        <w:rPr>
          <w:rFonts w:ascii="宋体" w:hAnsi="宋体"/>
          <w:kern w:val="0"/>
          <w:sz w:val="24"/>
        </w:rPr>
        <w:t xml:space="preserve">. </w:t>
      </w:r>
      <w:r>
        <w:rPr>
          <w:rFonts w:hint="eastAsia" w:ascii="宋体" w:hAnsi="宋体"/>
          <w:kern w:val="0"/>
          <w:sz w:val="24"/>
        </w:rPr>
        <w:t>项目建设地点</w:t>
      </w:r>
    </w:p>
    <w:p w14:paraId="266129F4">
      <w:pPr>
        <w:spacing w:line="360" w:lineRule="auto"/>
        <w:ind w:firstLine="420" w:firstLineChars="200"/>
        <w:rPr>
          <w:rFonts w:hint="eastAsia" w:ascii="宋体" w:hAnsi="宋体"/>
          <w:kern w:val="0"/>
          <w:sz w:val="24"/>
        </w:rPr>
      </w:pPr>
      <w:r>
        <w:rPr>
          <w:rFonts w:hint="eastAsia"/>
        </w:rPr>
        <w:t>重庆市长寿经济技术开发区齐心大道</w:t>
      </w:r>
      <w:r>
        <w:t>25号</w:t>
      </w:r>
    </w:p>
    <w:p w14:paraId="49DD6C08">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．项目</w:t>
      </w:r>
      <w:r>
        <w:rPr>
          <w:rFonts w:ascii="宋体" w:hAnsi="宋体"/>
          <w:kern w:val="0"/>
          <w:sz w:val="24"/>
        </w:rPr>
        <w:t>方案的组成</w:t>
      </w:r>
    </w:p>
    <w:p w14:paraId="17565272">
      <w:pPr>
        <w:spacing w:line="360" w:lineRule="auto"/>
        <w:ind w:firstLine="480" w:firstLineChars="200"/>
        <w:rPr>
          <w:rFonts w:hint="eastAsia" w:ascii="宋体" w:hAnsi="宋体"/>
          <w:kern w:val="0"/>
          <w:sz w:val="24"/>
        </w:rPr>
      </w:pPr>
      <w:r>
        <w:rPr>
          <w:rFonts w:hint="eastAsia" w:ascii="宋体" w:hAnsi="宋体"/>
          <w:kern w:val="0"/>
          <w:sz w:val="24"/>
        </w:rPr>
        <w:t>供应商</w:t>
      </w:r>
      <w:r>
        <w:rPr>
          <w:rFonts w:ascii="宋体" w:hAnsi="宋体"/>
          <w:kern w:val="0"/>
          <w:sz w:val="24"/>
        </w:rPr>
        <w:t>提供的</w:t>
      </w:r>
      <w:r>
        <w:rPr>
          <w:rFonts w:hint="eastAsia" w:ascii="宋体" w:hAnsi="宋体"/>
          <w:kern w:val="0"/>
          <w:sz w:val="24"/>
        </w:rPr>
        <w:t>项目</w:t>
      </w:r>
      <w:r>
        <w:rPr>
          <w:rFonts w:ascii="宋体" w:hAnsi="宋体"/>
          <w:kern w:val="0"/>
          <w:sz w:val="24"/>
        </w:rPr>
        <w:t>方案应包含以下内容：</w:t>
      </w:r>
    </w:p>
    <w:p w14:paraId="4A761629">
      <w:pPr>
        <w:spacing w:line="360" w:lineRule="auto"/>
        <w:ind w:firstLine="480" w:firstLineChars="200"/>
        <w:rPr>
          <w:rFonts w:hint="eastAsia" w:ascii="宋体" w:hAnsi="宋体"/>
          <w:kern w:val="0"/>
          <w:sz w:val="24"/>
        </w:rPr>
      </w:pPr>
      <w:r>
        <w:rPr>
          <w:rFonts w:hint="eastAsia" w:ascii="宋体" w:hAnsi="宋体"/>
          <w:kern w:val="0"/>
          <w:sz w:val="24"/>
        </w:rPr>
        <w:t>（1）.保障本工程按期完工所需的人、机、料、法等相关资源的组织方案。</w:t>
      </w:r>
    </w:p>
    <w:p w14:paraId="7A970AE4">
      <w:pPr>
        <w:spacing w:line="360" w:lineRule="auto"/>
        <w:ind w:firstLine="480" w:firstLineChars="200"/>
        <w:rPr>
          <w:rFonts w:hint="eastAsia" w:ascii="宋体" w:hAnsi="宋体"/>
          <w:kern w:val="0"/>
          <w:sz w:val="24"/>
        </w:rPr>
      </w:pPr>
      <w:r>
        <w:rPr>
          <w:rFonts w:hint="eastAsia" w:ascii="宋体" w:hAnsi="宋体"/>
          <w:kern w:val="0"/>
          <w:sz w:val="24"/>
        </w:rPr>
        <w:t>（2）.需有专篇方案说明在施工期间如何对与本项目相邻且正在生产作业中的窑炉产线进行隔离防护以确保施工期间相邻窑炉的正常作业。</w:t>
      </w:r>
    </w:p>
    <w:p w14:paraId="01829056">
      <w:pPr>
        <w:rPr>
          <w:rFonts w:hint="eastAsia" w:ascii="宋体" w:hAnsi="宋体"/>
          <w:sz w:val="24"/>
        </w:rPr>
      </w:pPr>
    </w:p>
    <w:p w14:paraId="1C913964">
      <w:pPr>
        <w:rPr>
          <w:rFonts w:hint="eastAsia" w:ascii="宋体" w:hAnsi="宋体"/>
          <w:sz w:val="24"/>
        </w:rPr>
      </w:pPr>
    </w:p>
    <w:p w14:paraId="126AC7AB">
      <w:pPr>
        <w:rPr>
          <w:rFonts w:hint="eastAsia" w:ascii="宋体" w:hAnsi="宋体"/>
          <w:sz w:val="24"/>
        </w:rPr>
      </w:pPr>
    </w:p>
    <w:p w14:paraId="22D859C2">
      <w:pPr>
        <w:rPr>
          <w:rFonts w:hint="eastAsia" w:ascii="宋体" w:hAnsi="宋体"/>
          <w:sz w:val="24"/>
        </w:rPr>
      </w:pPr>
    </w:p>
    <w:p w14:paraId="46E4F0B9">
      <w:pPr>
        <w:rPr>
          <w:rFonts w:hint="eastAsia" w:ascii="宋体" w:hAnsi="宋体"/>
          <w:sz w:val="24"/>
        </w:rPr>
      </w:pPr>
    </w:p>
    <w:p w14:paraId="173AA600">
      <w:pPr>
        <w:rPr>
          <w:rFonts w:hint="eastAsia" w:ascii="宋体" w:hAnsi="宋体"/>
          <w:sz w:val="24"/>
        </w:rPr>
      </w:pPr>
    </w:p>
    <w:p w14:paraId="1FB98FB0">
      <w:pPr>
        <w:rPr>
          <w:rFonts w:hint="eastAsia" w:ascii="宋体" w:hAnsi="宋体"/>
          <w:sz w:val="24"/>
        </w:rPr>
      </w:pPr>
    </w:p>
    <w:p w14:paraId="2F886743">
      <w:pPr>
        <w:rPr>
          <w:rFonts w:hint="eastAsia" w:ascii="宋体" w:hAnsi="宋体"/>
          <w:sz w:val="24"/>
        </w:rPr>
      </w:pPr>
    </w:p>
    <w:p w14:paraId="63E7C931">
      <w:pPr>
        <w:rPr>
          <w:rFonts w:hint="eastAsia" w:ascii="宋体" w:hAnsi="宋体"/>
          <w:sz w:val="24"/>
        </w:rPr>
      </w:pPr>
    </w:p>
    <w:p w14:paraId="16725353">
      <w:pPr>
        <w:rPr>
          <w:rFonts w:hint="eastAsia" w:ascii="宋体" w:hAnsi="宋体"/>
          <w:sz w:val="24"/>
        </w:rPr>
      </w:pPr>
    </w:p>
    <w:p w14:paraId="46045631">
      <w:pPr>
        <w:rPr>
          <w:rFonts w:hint="eastAsia" w:ascii="宋体" w:hAnsi="宋体"/>
          <w:sz w:val="24"/>
        </w:rPr>
      </w:pPr>
    </w:p>
    <w:p w14:paraId="584DE958">
      <w:pPr>
        <w:rPr>
          <w:rFonts w:hint="eastAsia" w:ascii="宋体" w:hAnsi="宋体"/>
          <w:sz w:val="24"/>
        </w:rPr>
      </w:pPr>
    </w:p>
    <w:p w14:paraId="5A93878F">
      <w:pPr>
        <w:rPr>
          <w:rFonts w:hint="eastAsia" w:ascii="宋体" w:hAnsi="宋体"/>
          <w:sz w:val="24"/>
        </w:rPr>
      </w:pPr>
    </w:p>
    <w:p w14:paraId="1CA6B727">
      <w:pPr>
        <w:rPr>
          <w:rFonts w:hint="eastAsia" w:ascii="宋体" w:hAnsi="宋体"/>
          <w:sz w:val="24"/>
        </w:rPr>
      </w:pPr>
    </w:p>
    <w:p w14:paraId="141FC362">
      <w:pPr>
        <w:rPr>
          <w:rFonts w:hint="eastAsia" w:ascii="宋体" w:hAnsi="宋体"/>
          <w:sz w:val="24"/>
        </w:rPr>
      </w:pPr>
    </w:p>
    <w:p w14:paraId="6B6C9408">
      <w:pPr>
        <w:rPr>
          <w:rFonts w:hint="eastAsia" w:ascii="宋体" w:hAnsi="宋体"/>
          <w:sz w:val="24"/>
        </w:rPr>
      </w:pPr>
    </w:p>
    <w:p w14:paraId="099F3777">
      <w:pPr>
        <w:rPr>
          <w:rFonts w:hint="eastAsia" w:ascii="宋体" w:hAnsi="宋体"/>
          <w:sz w:val="24"/>
        </w:rPr>
      </w:pPr>
    </w:p>
    <w:p w14:paraId="3273343C">
      <w:pPr>
        <w:rPr>
          <w:rFonts w:hint="eastAsia" w:ascii="宋体" w:hAnsi="宋体"/>
          <w:sz w:val="24"/>
        </w:rPr>
      </w:pPr>
    </w:p>
    <w:p w14:paraId="0395C4E7">
      <w:pPr>
        <w:rPr>
          <w:rFonts w:hint="eastAsia" w:ascii="宋体" w:hAnsi="宋体"/>
          <w:sz w:val="24"/>
        </w:rPr>
      </w:pPr>
    </w:p>
    <w:p w14:paraId="6BAB29FD">
      <w:pPr>
        <w:rPr>
          <w:rFonts w:hint="eastAsia" w:ascii="宋体" w:hAnsi="宋体"/>
          <w:sz w:val="24"/>
        </w:rPr>
      </w:pPr>
    </w:p>
    <w:p w14:paraId="797F95BC">
      <w:pPr>
        <w:rPr>
          <w:rFonts w:hint="eastAsia" w:ascii="宋体" w:hAnsi="宋体"/>
          <w:sz w:val="24"/>
        </w:rPr>
      </w:pPr>
    </w:p>
    <w:p w14:paraId="66189B2B">
      <w:pPr>
        <w:rPr>
          <w:rFonts w:hint="eastAsia" w:ascii="宋体" w:hAnsi="宋体"/>
          <w:sz w:val="24"/>
        </w:rPr>
      </w:pPr>
    </w:p>
    <w:p w14:paraId="04432EF2">
      <w:pPr>
        <w:rPr>
          <w:rFonts w:hint="eastAsia" w:ascii="宋体" w:hAnsi="宋体"/>
          <w:sz w:val="24"/>
        </w:rPr>
      </w:pPr>
    </w:p>
    <w:p w14:paraId="0E81DDE8">
      <w:pPr>
        <w:rPr>
          <w:rFonts w:hint="eastAsia" w:ascii="宋体" w:hAnsi="宋体"/>
          <w:sz w:val="24"/>
        </w:rPr>
      </w:pPr>
    </w:p>
    <w:p w14:paraId="01E509FD">
      <w:pPr>
        <w:rPr>
          <w:rFonts w:hint="eastAsia" w:ascii="宋体" w:hAnsi="宋体"/>
          <w:sz w:val="24"/>
        </w:rPr>
      </w:pPr>
    </w:p>
    <w:p w14:paraId="33EBB5A7">
      <w:pPr>
        <w:rPr>
          <w:rFonts w:hint="eastAsia" w:ascii="宋体" w:hAnsi="宋体"/>
          <w:sz w:val="24"/>
        </w:rPr>
      </w:pPr>
    </w:p>
    <w:p w14:paraId="26849374">
      <w:pPr>
        <w:pStyle w:val="3"/>
        <w:spacing w:before="240" w:beforeLines="100" w:after="360" w:afterLines="150" w:line="276" w:lineRule="auto"/>
        <w:jc w:val="center"/>
        <w:rPr>
          <w:rFonts w:hint="eastAsia" w:ascii="宋体" w:hAnsi="宋体"/>
        </w:rPr>
      </w:pPr>
      <w:r>
        <w:rPr>
          <w:rFonts w:hint="eastAsia" w:ascii="宋体" w:hAnsi="宋体"/>
        </w:rPr>
        <w:t>第三章  供应商</w:t>
      </w:r>
      <w:r>
        <w:rPr>
          <w:rFonts w:ascii="宋体" w:hAnsi="宋体"/>
        </w:rPr>
        <w:t>须知</w:t>
      </w:r>
    </w:p>
    <w:p w14:paraId="51082AB3">
      <w:pPr>
        <w:spacing w:line="360" w:lineRule="auto"/>
        <w:ind w:firstLine="482" w:firstLineChars="200"/>
        <w:rPr>
          <w:rFonts w:hint="eastAsia" w:ascii="宋体" w:hAnsi="宋体"/>
          <w:b/>
          <w:kern w:val="0"/>
          <w:sz w:val="24"/>
        </w:rPr>
      </w:pPr>
      <w:r>
        <w:rPr>
          <w:rFonts w:hint="eastAsia" w:ascii="宋体" w:hAnsi="宋体"/>
          <w:b/>
          <w:kern w:val="0"/>
          <w:sz w:val="24"/>
        </w:rPr>
        <w:t>一</w:t>
      </w:r>
      <w:r>
        <w:rPr>
          <w:rFonts w:ascii="宋体" w:hAnsi="宋体"/>
          <w:b/>
          <w:kern w:val="0"/>
          <w:sz w:val="24"/>
        </w:rPr>
        <w:t>、总则</w:t>
      </w:r>
    </w:p>
    <w:p w14:paraId="39C31456">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05D02629">
      <w:pPr>
        <w:spacing w:line="360" w:lineRule="auto"/>
        <w:ind w:firstLine="480" w:firstLineChars="200"/>
        <w:rPr>
          <w:rFonts w:hint="eastAsia"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sz w:val="24"/>
        </w:rPr>
        <w:t>，是供应商编制谈判文件的依据</w:t>
      </w:r>
      <w:r>
        <w:rPr>
          <w:rFonts w:ascii="宋体" w:hAnsi="宋体"/>
          <w:kern w:val="0"/>
          <w:sz w:val="24"/>
        </w:rPr>
        <w:t>。</w:t>
      </w:r>
    </w:p>
    <w:p w14:paraId="5E237F04">
      <w:pPr>
        <w:spacing w:line="360" w:lineRule="auto"/>
        <w:ind w:firstLine="480" w:firstLineChars="200"/>
        <w:rPr>
          <w:rFonts w:hint="eastAsia"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sz w:val="24"/>
        </w:rPr>
        <w:t>本谈判文件及由本次谈判所形成的合同适用中华人民共和国法律。</w:t>
      </w:r>
    </w:p>
    <w:p w14:paraId="282DBD6F">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16DC088F">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607A18F5">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sz w:val="24"/>
        </w:rPr>
        <w:t>本次竞争性谈判对供应商的资格审查采用资格后审。</w:t>
      </w:r>
    </w:p>
    <w:p w14:paraId="3006DE76">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应遵守中国法律和法规。</w:t>
      </w:r>
    </w:p>
    <w:p w14:paraId="7053E0B8">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2DE8A7FE">
      <w:pPr>
        <w:spacing w:line="360" w:lineRule="auto"/>
        <w:ind w:firstLine="480" w:firstLineChars="200"/>
        <w:rPr>
          <w:rFonts w:hint="eastAsia" w:ascii="宋体" w:hAnsi="宋体"/>
          <w:sz w:val="24"/>
        </w:rPr>
      </w:pPr>
      <w:r>
        <w:rPr>
          <w:rFonts w:ascii="宋体" w:hAnsi="宋体"/>
          <w:kern w:val="0"/>
          <w:sz w:val="24"/>
        </w:rPr>
        <w:t>3</w:t>
      </w:r>
      <w:r>
        <w:rPr>
          <w:rFonts w:hint="eastAsia" w:ascii="宋体" w:hAnsi="宋体"/>
          <w:kern w:val="0"/>
          <w:sz w:val="24"/>
        </w:rPr>
        <w:t>.1</w:t>
      </w:r>
      <w:r>
        <w:rPr>
          <w:rFonts w:ascii="宋体" w:hAnsi="宋体"/>
          <w:sz w:val="24"/>
        </w:rPr>
        <w:t>供应商应承担其参与本次</w:t>
      </w:r>
      <w:r>
        <w:rPr>
          <w:rFonts w:hint="eastAsia" w:ascii="宋体" w:hAnsi="宋体"/>
          <w:kern w:val="0"/>
          <w:sz w:val="24"/>
        </w:rPr>
        <w:t>竞争性谈判</w:t>
      </w:r>
      <w:r>
        <w:rPr>
          <w:rFonts w:ascii="宋体" w:hAnsi="宋体"/>
          <w:sz w:val="24"/>
        </w:rPr>
        <w:t>所涉及的一切费用。不论</w:t>
      </w:r>
      <w:r>
        <w:rPr>
          <w:rFonts w:hint="eastAsia" w:ascii="宋体" w:hAnsi="宋体"/>
          <w:sz w:val="24"/>
        </w:rPr>
        <w:t>谈判</w:t>
      </w:r>
      <w:r>
        <w:rPr>
          <w:rFonts w:ascii="宋体" w:hAnsi="宋体"/>
          <w:sz w:val="24"/>
        </w:rPr>
        <w:t>结果如何，</w:t>
      </w:r>
      <w:r>
        <w:rPr>
          <w:rFonts w:hint="eastAsia" w:ascii="宋体" w:hAnsi="宋体"/>
          <w:sz w:val="24"/>
        </w:rPr>
        <w:t>采购人均无</w:t>
      </w:r>
      <w:r>
        <w:rPr>
          <w:rFonts w:ascii="宋体" w:hAnsi="宋体"/>
          <w:sz w:val="24"/>
        </w:rPr>
        <w:t>义务</w:t>
      </w:r>
      <w:r>
        <w:rPr>
          <w:rFonts w:hint="eastAsia" w:ascii="宋体" w:hAnsi="宋体"/>
          <w:sz w:val="24"/>
        </w:rPr>
        <w:t>和</w:t>
      </w:r>
      <w:r>
        <w:rPr>
          <w:rFonts w:ascii="宋体" w:hAnsi="宋体"/>
          <w:sz w:val="24"/>
        </w:rPr>
        <w:t>责任承担这些费用</w:t>
      </w:r>
      <w:r>
        <w:rPr>
          <w:rFonts w:hint="eastAsia" w:ascii="宋体" w:hAnsi="宋体"/>
          <w:sz w:val="24"/>
        </w:rPr>
        <w:t>。</w:t>
      </w:r>
    </w:p>
    <w:p w14:paraId="34D23ED4">
      <w:pPr>
        <w:spacing w:line="360" w:lineRule="auto"/>
        <w:ind w:firstLine="482" w:firstLineChars="200"/>
        <w:rPr>
          <w:rFonts w:hint="eastAsia" w:ascii="宋体" w:hAnsi="宋体"/>
          <w:b/>
          <w:sz w:val="24"/>
        </w:rPr>
      </w:pPr>
      <w:r>
        <w:rPr>
          <w:rFonts w:ascii="宋体" w:hAnsi="宋体"/>
          <w:b/>
          <w:sz w:val="24"/>
        </w:rPr>
        <w:t>4.特别注意</w:t>
      </w:r>
    </w:p>
    <w:p w14:paraId="5A988F48">
      <w:pPr>
        <w:spacing w:line="360" w:lineRule="auto"/>
        <w:ind w:firstLine="480" w:firstLineChars="200"/>
        <w:rPr>
          <w:rFonts w:hint="eastAsia" w:ascii="宋体" w:hAnsi="宋体"/>
          <w:sz w:val="24"/>
        </w:rPr>
      </w:pPr>
      <w:r>
        <w:rPr>
          <w:rFonts w:hint="eastAsia" w:ascii="宋体" w:hAnsi="宋体"/>
          <w:sz w:val="24"/>
        </w:rPr>
        <w:t>单位负责人为同一人或者存在控股、管理关系的不同单位，不得同时参加本次竞争性谈判。</w:t>
      </w:r>
    </w:p>
    <w:p w14:paraId="28E46276">
      <w:pPr>
        <w:spacing w:line="360" w:lineRule="auto"/>
        <w:ind w:firstLine="482" w:firstLineChars="200"/>
        <w:rPr>
          <w:rFonts w:hint="eastAsia" w:ascii="宋体" w:hAnsi="宋体"/>
          <w:b/>
          <w:kern w:val="0"/>
          <w:sz w:val="24"/>
        </w:rPr>
      </w:pPr>
      <w:r>
        <w:rPr>
          <w:rFonts w:hint="eastAsia" w:ascii="宋体" w:hAnsi="宋体"/>
          <w:b/>
          <w:kern w:val="0"/>
          <w:sz w:val="24"/>
        </w:rPr>
        <w:t>二</w:t>
      </w:r>
      <w:r>
        <w:rPr>
          <w:rFonts w:ascii="宋体" w:hAnsi="宋体"/>
          <w:b/>
          <w:kern w:val="0"/>
          <w:sz w:val="24"/>
        </w:rPr>
        <w:t>、谈判文件说明</w:t>
      </w:r>
    </w:p>
    <w:p w14:paraId="6B85EFD4">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7F5BC5F1">
      <w:pPr>
        <w:spacing w:line="360" w:lineRule="auto"/>
        <w:ind w:firstLine="480" w:firstLineChars="200"/>
        <w:rPr>
          <w:rFonts w:hint="eastAsia"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624A6E5F">
      <w:pPr>
        <w:spacing w:line="360" w:lineRule="auto"/>
        <w:ind w:firstLine="480" w:firstLineChars="200"/>
        <w:rPr>
          <w:rFonts w:hint="eastAsia" w:ascii="宋体" w:hAnsi="宋体"/>
          <w:kern w:val="0"/>
          <w:sz w:val="24"/>
        </w:rPr>
      </w:pPr>
      <w:r>
        <w:rPr>
          <w:rFonts w:hint="eastAsia" w:ascii="宋体" w:hAnsi="宋体"/>
          <w:kern w:val="0"/>
          <w:sz w:val="24"/>
        </w:rPr>
        <w:t>（1）谈判公告</w:t>
      </w:r>
    </w:p>
    <w:p w14:paraId="7FF52292">
      <w:pPr>
        <w:spacing w:line="360" w:lineRule="auto"/>
        <w:ind w:firstLine="480" w:firstLineChars="200"/>
        <w:rPr>
          <w:rFonts w:hint="eastAsia" w:ascii="宋体" w:hAnsi="宋体"/>
          <w:kern w:val="0"/>
          <w:sz w:val="24"/>
        </w:rPr>
      </w:pPr>
      <w:r>
        <w:rPr>
          <w:rFonts w:hint="eastAsia" w:ascii="宋体" w:hAnsi="宋体"/>
          <w:kern w:val="0"/>
          <w:sz w:val="24"/>
        </w:rPr>
        <w:t>（2）供应商</w:t>
      </w:r>
      <w:r>
        <w:rPr>
          <w:rFonts w:ascii="宋体" w:hAnsi="宋体"/>
          <w:kern w:val="0"/>
          <w:sz w:val="24"/>
        </w:rPr>
        <w:t>须知</w:t>
      </w:r>
    </w:p>
    <w:p w14:paraId="758889E7">
      <w:pPr>
        <w:spacing w:line="360" w:lineRule="auto"/>
        <w:ind w:firstLine="480" w:firstLineChars="200"/>
        <w:rPr>
          <w:rFonts w:hint="eastAsia" w:ascii="宋体" w:hAnsi="宋体"/>
          <w:kern w:val="0"/>
          <w:sz w:val="24"/>
        </w:rPr>
      </w:pPr>
      <w:r>
        <w:rPr>
          <w:rFonts w:hint="eastAsia" w:ascii="宋体" w:hAnsi="宋体"/>
          <w:kern w:val="0"/>
          <w:sz w:val="24"/>
        </w:rPr>
        <w:t>（3）项目</w:t>
      </w:r>
      <w:r>
        <w:rPr>
          <w:rFonts w:ascii="宋体" w:hAnsi="宋体"/>
          <w:kern w:val="0"/>
          <w:sz w:val="24"/>
        </w:rPr>
        <w:t>内容</w:t>
      </w:r>
    </w:p>
    <w:p w14:paraId="7BB0046D">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1D476F67">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62DA79C1">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39AA2B65">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19DC4338">
      <w:pPr>
        <w:spacing w:line="360" w:lineRule="auto"/>
        <w:ind w:firstLine="482" w:firstLineChars="200"/>
        <w:rPr>
          <w:rFonts w:hint="eastAsia"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013A3475">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6F75DD12">
      <w:pPr>
        <w:spacing w:line="360" w:lineRule="auto"/>
        <w:ind w:firstLine="480" w:firstLineChars="200"/>
        <w:rPr>
          <w:rFonts w:hint="eastAsia"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2F45FADD">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计量单位</w:t>
      </w:r>
    </w:p>
    <w:p w14:paraId="105A7041">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681F79C6">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54A250E8">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1AE9B2F2">
      <w:pPr>
        <w:spacing w:line="360" w:lineRule="auto"/>
        <w:ind w:firstLine="480" w:firstLineChars="200"/>
        <w:rPr>
          <w:rFonts w:hint="eastAsia" w:ascii="宋体" w:hAnsi="宋体"/>
          <w:kern w:val="0"/>
          <w:sz w:val="24"/>
        </w:rPr>
      </w:pPr>
      <w:r>
        <w:rPr>
          <w:rFonts w:hint="eastAsia" w:ascii="宋体" w:hAnsi="宋体"/>
          <w:kern w:val="0"/>
          <w:sz w:val="24"/>
        </w:rPr>
        <w:t>（</w:t>
      </w:r>
      <w:r>
        <w:rPr>
          <w:rFonts w:ascii="宋体" w:hAnsi="宋体"/>
          <w:kern w:val="0"/>
          <w:sz w:val="24"/>
        </w:rPr>
        <w:t>1）</w:t>
      </w:r>
      <w:r>
        <w:rPr>
          <w:rFonts w:hint="eastAsia" w:ascii="宋体" w:hAnsi="宋体"/>
          <w:kern w:val="0"/>
          <w:sz w:val="24"/>
        </w:rPr>
        <w:t>谈判响应书</w:t>
      </w:r>
    </w:p>
    <w:p w14:paraId="5BCD0FBD">
      <w:pPr>
        <w:spacing w:line="360" w:lineRule="auto"/>
        <w:ind w:firstLine="480" w:firstLineChars="200"/>
        <w:rPr>
          <w:rFonts w:hint="eastAsia" w:ascii="宋体" w:hAnsi="宋体"/>
          <w:kern w:val="0"/>
          <w:sz w:val="24"/>
        </w:rPr>
      </w:pPr>
      <w:r>
        <w:rPr>
          <w:rFonts w:hint="eastAsia" w:ascii="宋体" w:hAnsi="宋体"/>
          <w:kern w:val="0"/>
          <w:sz w:val="24"/>
        </w:rPr>
        <w:t>（2）供应商</w:t>
      </w:r>
      <w:r>
        <w:rPr>
          <w:rFonts w:ascii="宋体" w:hAnsi="宋体"/>
          <w:kern w:val="0"/>
          <w:sz w:val="24"/>
        </w:rPr>
        <w:t>基本情况表</w:t>
      </w:r>
    </w:p>
    <w:p w14:paraId="4097AC7D">
      <w:pPr>
        <w:spacing w:line="360" w:lineRule="auto"/>
        <w:ind w:firstLine="480" w:firstLineChars="200"/>
        <w:rPr>
          <w:rFonts w:hint="eastAsia"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4FA9B077">
      <w:pPr>
        <w:spacing w:line="360" w:lineRule="auto"/>
        <w:ind w:firstLine="480" w:firstLineChars="200"/>
        <w:rPr>
          <w:rFonts w:hint="eastAsia" w:ascii="宋体" w:hAnsi="宋体"/>
          <w:kern w:val="0"/>
          <w:sz w:val="24"/>
        </w:rPr>
      </w:pPr>
      <w:r>
        <w:rPr>
          <w:rFonts w:hint="eastAsia" w:ascii="宋体" w:hAnsi="宋体"/>
          <w:kern w:val="0"/>
          <w:sz w:val="24"/>
        </w:rPr>
        <w:t>（4）按照</w:t>
      </w:r>
      <w:r>
        <w:rPr>
          <w:rFonts w:ascii="宋体" w:hAnsi="宋体"/>
          <w:kern w:val="0"/>
          <w:sz w:val="24"/>
        </w:rPr>
        <w:t>供应商须知出具的供应商资格证明文件</w:t>
      </w:r>
      <w:r>
        <w:rPr>
          <w:rFonts w:hint="eastAsia" w:ascii="宋体" w:hAnsi="宋体"/>
          <w:kern w:val="0"/>
          <w:sz w:val="24"/>
        </w:rPr>
        <w:t>；</w:t>
      </w:r>
    </w:p>
    <w:p w14:paraId="3941FAF8">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0AE9AE8A">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kern w:val="0"/>
          <w:sz w:val="24"/>
        </w:rPr>
        <w:t>格式填写“</w:t>
      </w:r>
      <w:r>
        <w:rPr>
          <w:rFonts w:hint="eastAsia" w:ascii="宋体" w:hAnsi="宋体"/>
          <w:kern w:val="0"/>
          <w:sz w:val="24"/>
        </w:rPr>
        <w:t>响应书</w:t>
      </w:r>
      <w:r>
        <w:rPr>
          <w:rFonts w:ascii="宋体" w:hAnsi="宋体"/>
          <w:kern w:val="0"/>
          <w:sz w:val="24"/>
        </w:rPr>
        <w:t>”</w:t>
      </w:r>
      <w:r>
        <w:rPr>
          <w:rFonts w:hint="eastAsia" w:ascii="宋体" w:hAnsi="宋体"/>
          <w:kern w:val="0"/>
          <w:sz w:val="24"/>
        </w:rPr>
        <w:t>、</w:t>
      </w:r>
      <w:r>
        <w:rPr>
          <w:rFonts w:ascii="宋体" w:hAnsi="宋体"/>
          <w:kern w:val="0"/>
          <w:sz w:val="24"/>
        </w:rPr>
        <w:t>“</w:t>
      </w:r>
      <w:r>
        <w:rPr>
          <w:rFonts w:hint="eastAsia" w:ascii="宋体" w:hAnsi="宋体"/>
          <w:kern w:val="0"/>
          <w:sz w:val="24"/>
        </w:rPr>
        <w:t>供应商</w:t>
      </w:r>
      <w:r>
        <w:rPr>
          <w:rFonts w:ascii="宋体" w:hAnsi="宋体"/>
          <w:kern w:val="0"/>
          <w:sz w:val="24"/>
        </w:rPr>
        <w:t>资格证明文件”</w:t>
      </w:r>
      <w:r>
        <w:rPr>
          <w:rFonts w:hint="eastAsia" w:ascii="宋体" w:hAnsi="宋体"/>
          <w:kern w:val="0"/>
          <w:sz w:val="24"/>
        </w:rPr>
        <w:t>以及</w:t>
      </w:r>
      <w:r>
        <w:rPr>
          <w:rFonts w:ascii="宋体" w:hAnsi="宋体"/>
          <w:kern w:val="0"/>
          <w:sz w:val="24"/>
        </w:rPr>
        <w:t>其他注明提供的相关文件。</w:t>
      </w:r>
    </w:p>
    <w:p w14:paraId="252F2FFC">
      <w:pPr>
        <w:spacing w:line="360" w:lineRule="auto"/>
        <w:ind w:firstLine="482" w:firstLineChars="200"/>
        <w:rPr>
          <w:rFonts w:hint="eastAsia"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399C9423">
      <w:pPr>
        <w:spacing w:line="360" w:lineRule="auto"/>
        <w:ind w:firstLine="480" w:firstLineChars="200"/>
        <w:rPr>
          <w:rFonts w:hint="eastAsia"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kern w:val="0"/>
          <w:sz w:val="24"/>
        </w:rPr>
        <w:t>；</w:t>
      </w:r>
    </w:p>
    <w:p w14:paraId="0F8582DA">
      <w:pPr>
        <w:spacing w:line="360" w:lineRule="auto"/>
        <w:ind w:firstLine="482" w:firstLineChars="200"/>
        <w:rPr>
          <w:rFonts w:hint="eastAsia"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02EAF1B9">
      <w:pPr>
        <w:spacing w:line="360" w:lineRule="auto"/>
        <w:ind w:firstLine="482" w:firstLineChars="200"/>
        <w:rPr>
          <w:rFonts w:hint="eastAsia"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7BC0283C">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0A7279EF">
      <w:pPr>
        <w:spacing w:line="360" w:lineRule="auto"/>
        <w:ind w:firstLine="482" w:firstLineChars="200"/>
        <w:rPr>
          <w:rFonts w:hint="eastAsia"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63A78506">
      <w:pPr>
        <w:spacing w:line="360" w:lineRule="auto"/>
        <w:ind w:firstLine="480" w:firstLineChars="200"/>
        <w:rPr>
          <w:rFonts w:hint="eastAsia"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kern w:val="0"/>
          <w:sz w:val="24"/>
        </w:rPr>
        <w:t>必须</w:t>
      </w:r>
      <w:r>
        <w:rPr>
          <w:rFonts w:hint="eastAsia" w:ascii="宋体" w:hAnsi="宋体"/>
          <w:kern w:val="0"/>
          <w:sz w:val="24"/>
        </w:rPr>
        <w:t>按</w:t>
      </w:r>
      <w:r>
        <w:rPr>
          <w:rFonts w:ascii="宋体" w:hAnsi="宋体"/>
          <w:kern w:val="0"/>
          <w:sz w:val="24"/>
        </w:rPr>
        <w:t>附件</w:t>
      </w:r>
      <w:r>
        <w:rPr>
          <w:rFonts w:hint="eastAsia" w:ascii="宋体" w:hAnsi="宋体"/>
          <w:kern w:val="0"/>
          <w:sz w:val="24"/>
        </w:rPr>
        <w:t>3的</w:t>
      </w:r>
      <w:r>
        <w:rPr>
          <w:rFonts w:ascii="宋体" w:hAnsi="宋体"/>
          <w:kern w:val="0"/>
          <w:sz w:val="24"/>
        </w:rPr>
        <w:t>要求提交证明文件，以证明其有资格参加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4A6B71F5">
      <w:pPr>
        <w:widowControl/>
        <w:spacing w:line="360" w:lineRule="auto"/>
        <w:ind w:firstLine="480" w:firstLineChars="200"/>
        <w:jc w:val="left"/>
        <w:rPr>
          <w:rFonts w:hint="eastAsia"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5AE49EB3">
      <w:pPr>
        <w:spacing w:line="360" w:lineRule="auto"/>
        <w:ind w:firstLine="482" w:firstLineChars="200"/>
        <w:rPr>
          <w:rFonts w:hint="eastAsia"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6DE2824A">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28B1892F">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6F617544">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536F892C">
      <w:pPr>
        <w:spacing w:line="360" w:lineRule="auto"/>
        <w:ind w:firstLine="480" w:firstLineChars="200"/>
        <w:rPr>
          <w:rFonts w:hint="eastAsia"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3FF8A447">
      <w:pPr>
        <w:spacing w:line="360" w:lineRule="auto"/>
        <w:ind w:firstLine="480" w:firstLineChars="200"/>
        <w:rPr>
          <w:rFonts w:hint="eastAsia"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21F25CF5">
      <w:pPr>
        <w:spacing w:line="360" w:lineRule="auto"/>
        <w:ind w:firstLine="482" w:firstLineChars="200"/>
        <w:rPr>
          <w:rFonts w:hint="eastAsia" w:ascii="宋体" w:hAnsi="宋体"/>
          <w:b/>
          <w:kern w:val="0"/>
          <w:sz w:val="24"/>
        </w:rPr>
      </w:pPr>
      <w:r>
        <w:rPr>
          <w:rFonts w:ascii="宋体" w:hAnsi="宋体"/>
          <w:b/>
          <w:kern w:val="0"/>
          <w:sz w:val="24"/>
        </w:rPr>
        <w:t>9.</w:t>
      </w:r>
      <w:r>
        <w:rPr>
          <w:rFonts w:hint="eastAsia" w:ascii="宋体" w:hAnsi="宋体"/>
          <w:b/>
          <w:kern w:val="0"/>
          <w:sz w:val="24"/>
        </w:rPr>
        <w:t xml:space="preserve">  参与竞争性谈判保证金</w:t>
      </w:r>
    </w:p>
    <w:p w14:paraId="7B9DE734">
      <w:pPr>
        <w:spacing w:line="360" w:lineRule="auto"/>
        <w:ind w:firstLine="480" w:firstLineChars="200"/>
        <w:rPr>
          <w:rFonts w:hint="eastAsia" w:ascii="宋体" w:hAnsi="宋体"/>
          <w:kern w:val="0"/>
          <w:sz w:val="24"/>
        </w:rPr>
      </w:pPr>
      <w:r>
        <w:rPr>
          <w:rFonts w:ascii="宋体" w:hAnsi="宋体"/>
          <w:kern w:val="0"/>
          <w:sz w:val="24"/>
        </w:rPr>
        <w:t>9</w:t>
      </w:r>
      <w:r>
        <w:rPr>
          <w:rFonts w:hint="eastAsia" w:ascii="宋体" w:hAnsi="宋体"/>
          <w:kern w:val="0"/>
          <w:sz w:val="24"/>
        </w:rPr>
        <w:t>.1本项目不设置谈判保证金</w:t>
      </w:r>
    </w:p>
    <w:p w14:paraId="6A547EA3">
      <w:pPr>
        <w:widowControl/>
        <w:spacing w:line="360" w:lineRule="auto"/>
        <w:ind w:firstLine="482" w:firstLineChars="200"/>
        <w:jc w:val="left"/>
        <w:rPr>
          <w:rFonts w:hint="eastAsia"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1790B992">
      <w:pPr>
        <w:widowControl/>
        <w:spacing w:line="360" w:lineRule="auto"/>
        <w:ind w:firstLine="482" w:firstLineChars="200"/>
        <w:jc w:val="left"/>
        <w:rPr>
          <w:rFonts w:hint="eastAsia"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00A6C997">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1.1 </w:t>
      </w:r>
      <w:r>
        <w:rPr>
          <w:rFonts w:hint="eastAsia" w:ascii="宋体" w:hAnsi="宋体" w:cs="宋体"/>
          <w:kern w:val="0"/>
          <w:sz w:val="24"/>
        </w:rPr>
        <w:t>供应商</w:t>
      </w:r>
      <w:r>
        <w:rPr>
          <w:rFonts w:ascii="宋体" w:hAnsi="宋体" w:cs="宋体"/>
          <w:kern w:val="0"/>
          <w:sz w:val="24"/>
        </w:rPr>
        <w:t>应提交“</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正本</w:t>
      </w:r>
      <w:r>
        <w:rPr>
          <w:rFonts w:ascii="宋体" w:hAnsi="宋体" w:cs="宋体"/>
          <w:kern w:val="0"/>
          <w:sz w:val="24"/>
        </w:rPr>
        <w:t>一套和副本</w:t>
      </w:r>
      <w:r>
        <w:rPr>
          <w:rFonts w:hint="eastAsia" w:ascii="宋体" w:hAnsi="宋体" w:cs="宋体"/>
          <w:kern w:val="0"/>
          <w:sz w:val="24"/>
        </w:rPr>
        <w:t>一</w:t>
      </w:r>
      <w:r>
        <w:rPr>
          <w:rFonts w:ascii="宋体" w:hAnsi="宋体" w:cs="宋体"/>
          <w:kern w:val="0"/>
          <w:sz w:val="24"/>
        </w:rPr>
        <w:t>套，每套“</w:t>
      </w:r>
      <w:r>
        <w:rPr>
          <w:rFonts w:hint="eastAsia" w:ascii="宋体" w:hAnsi="宋体" w:cs="宋体"/>
          <w:kern w:val="0"/>
          <w:sz w:val="24"/>
        </w:rPr>
        <w:t>谈判文件</w:t>
      </w:r>
      <w:r>
        <w:rPr>
          <w:rFonts w:ascii="宋体" w:hAnsi="宋体" w:cs="宋体"/>
          <w:kern w:val="0"/>
          <w:sz w:val="24"/>
        </w:rPr>
        <w:t>”</w:t>
      </w:r>
      <w:r>
        <w:rPr>
          <w:rFonts w:hint="eastAsia" w:ascii="宋体" w:hAnsi="宋体" w:cs="宋体"/>
          <w:kern w:val="0"/>
          <w:sz w:val="24"/>
        </w:rPr>
        <w:t>封面</w:t>
      </w:r>
      <w:r>
        <w:rPr>
          <w:rFonts w:ascii="宋体" w:hAnsi="宋体" w:cs="宋体"/>
          <w:kern w:val="0"/>
          <w:sz w:val="24"/>
        </w:rPr>
        <w:t>的右上角应标明“</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或</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。电子版文件（盖鲜章的PDF扫描件）一套（提供形式：U盘）</w:t>
      </w:r>
    </w:p>
    <w:p w14:paraId="2A18EA1F">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1.2 </w:t>
      </w:r>
      <w:r>
        <w:rPr>
          <w:rFonts w:hint="eastAsia" w:ascii="宋体" w:hAnsi="宋体" w:cs="宋体"/>
          <w:kern w:val="0"/>
          <w:sz w:val="24"/>
        </w:rPr>
        <w:t>谈判文件</w:t>
      </w:r>
      <w:r>
        <w:rPr>
          <w:rFonts w:ascii="宋体" w:hAnsi="宋体" w:cs="宋体"/>
          <w:kern w:val="0"/>
          <w:sz w:val="24"/>
        </w:rPr>
        <w:t>的包装、标记要求</w:t>
      </w:r>
    </w:p>
    <w:p w14:paraId="5478733F">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1.2.1 </w:t>
      </w:r>
      <w:r>
        <w:rPr>
          <w:rFonts w:hint="eastAsia" w:ascii="宋体" w:hAnsi="宋体" w:cs="宋体"/>
          <w:kern w:val="0"/>
          <w:sz w:val="24"/>
        </w:rPr>
        <w:t>谈判文件</w:t>
      </w:r>
      <w:r>
        <w:rPr>
          <w:rFonts w:ascii="宋体" w:hAnsi="宋体" w:cs="宋体"/>
          <w:kern w:val="0"/>
          <w:sz w:val="24"/>
        </w:rPr>
        <w:t>应单独封装</w:t>
      </w:r>
      <w:r>
        <w:rPr>
          <w:rFonts w:hint="eastAsia" w:ascii="宋体" w:hAnsi="宋体" w:cs="宋体"/>
          <w:kern w:val="0"/>
          <w:sz w:val="24"/>
        </w:rPr>
        <w:t>。</w:t>
      </w:r>
    </w:p>
    <w:p w14:paraId="5D0E3722">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.2.2 供应商</w:t>
      </w:r>
      <w:r>
        <w:rPr>
          <w:rFonts w:ascii="宋体" w:hAnsi="宋体" w:cs="宋体"/>
          <w:kern w:val="0"/>
          <w:sz w:val="24"/>
        </w:rPr>
        <w:t>应将</w:t>
      </w:r>
      <w:r>
        <w:rPr>
          <w:rFonts w:hint="eastAsia" w:ascii="宋体" w:hAnsi="宋体" w:cs="宋体"/>
          <w:kern w:val="0"/>
          <w:sz w:val="24"/>
        </w:rPr>
        <w:t>谈判文件</w:t>
      </w:r>
      <w:r>
        <w:rPr>
          <w:rFonts w:ascii="宋体" w:hAnsi="宋体" w:cs="宋体"/>
          <w:kern w:val="0"/>
          <w:sz w:val="24"/>
        </w:rPr>
        <w:t>按正本、副本分别封装，并标明</w:t>
      </w:r>
      <w:r>
        <w:rPr>
          <w:rFonts w:hint="eastAsia" w:ascii="宋体" w:hAnsi="宋体" w:cs="宋体"/>
          <w:kern w:val="0"/>
          <w:sz w:val="24"/>
        </w:rPr>
        <w:t>采购</w:t>
      </w:r>
      <w:r>
        <w:rPr>
          <w:rFonts w:ascii="宋体" w:hAnsi="宋体" w:cs="宋体"/>
          <w:kern w:val="0"/>
          <w:sz w:val="24"/>
        </w:rPr>
        <w:t>项目名称、供应商名称、地址、邮政编码及“</w:t>
      </w:r>
      <w:r>
        <w:rPr>
          <w:rFonts w:hint="eastAsia" w:ascii="宋体" w:hAnsi="宋体" w:cs="宋体"/>
          <w:kern w:val="0"/>
          <w:sz w:val="24"/>
        </w:rPr>
        <w:t>正本</w:t>
      </w:r>
      <w:r>
        <w:rPr>
          <w:rFonts w:ascii="宋体" w:hAnsi="宋体" w:cs="宋体"/>
          <w:kern w:val="0"/>
          <w:sz w:val="24"/>
        </w:rPr>
        <w:t>”</w:t>
      </w:r>
      <w:r>
        <w:rPr>
          <w:rFonts w:hint="eastAsia" w:ascii="宋体" w:hAnsi="宋体" w:cs="宋体"/>
          <w:kern w:val="0"/>
          <w:sz w:val="24"/>
        </w:rPr>
        <w:t>、</w:t>
      </w:r>
      <w:r>
        <w:rPr>
          <w:rFonts w:ascii="宋体" w:hAnsi="宋体" w:cs="宋体"/>
          <w:kern w:val="0"/>
          <w:sz w:val="24"/>
        </w:rPr>
        <w:t>“</w:t>
      </w:r>
      <w:r>
        <w:rPr>
          <w:rFonts w:hint="eastAsia" w:ascii="宋体" w:hAnsi="宋体" w:cs="宋体"/>
          <w:kern w:val="0"/>
          <w:sz w:val="24"/>
        </w:rPr>
        <w:t>副本</w:t>
      </w:r>
      <w:r>
        <w:rPr>
          <w:rFonts w:ascii="宋体" w:hAnsi="宋体" w:cs="宋体"/>
          <w:kern w:val="0"/>
          <w:sz w:val="24"/>
        </w:rPr>
        <w:t>”</w:t>
      </w:r>
      <w:r>
        <w:rPr>
          <w:rFonts w:hint="eastAsia" w:ascii="宋体" w:hAnsi="宋体" w:cs="宋体"/>
          <w:kern w:val="0"/>
          <w:sz w:val="24"/>
        </w:rPr>
        <w:t>字样</w:t>
      </w:r>
      <w:r>
        <w:rPr>
          <w:rFonts w:ascii="宋体" w:hAnsi="宋体" w:cs="宋体"/>
          <w:kern w:val="0"/>
          <w:sz w:val="24"/>
        </w:rPr>
        <w:t>。再将</w:t>
      </w:r>
      <w:r>
        <w:rPr>
          <w:rFonts w:hint="eastAsia" w:ascii="宋体" w:hAnsi="宋体" w:cs="宋体"/>
          <w:kern w:val="0"/>
          <w:sz w:val="24"/>
        </w:rPr>
        <w:t>单独</w:t>
      </w:r>
      <w:r>
        <w:rPr>
          <w:rFonts w:ascii="宋体" w:hAnsi="宋体" w:cs="宋体"/>
          <w:kern w:val="0"/>
          <w:sz w:val="24"/>
        </w:rPr>
        <w:t>密封包装的</w:t>
      </w:r>
      <w:r>
        <w:rPr>
          <w:rFonts w:hint="eastAsia" w:ascii="宋体" w:hAnsi="宋体" w:cs="宋体"/>
          <w:kern w:val="0"/>
          <w:sz w:val="24"/>
        </w:rPr>
        <w:t>全套</w:t>
      </w:r>
      <w:r>
        <w:rPr>
          <w:rFonts w:ascii="宋体" w:hAnsi="宋体" w:cs="宋体"/>
          <w:kern w:val="0"/>
          <w:sz w:val="24"/>
        </w:rPr>
        <w:t>正本、副本文件统一封装在</w:t>
      </w:r>
      <w:r>
        <w:rPr>
          <w:rFonts w:hint="eastAsia" w:ascii="宋体" w:hAnsi="宋体" w:cs="宋体"/>
          <w:kern w:val="0"/>
          <w:sz w:val="24"/>
        </w:rPr>
        <w:t>一件</w:t>
      </w:r>
      <w:r>
        <w:rPr>
          <w:rFonts w:ascii="宋体" w:hAnsi="宋体" w:cs="宋体"/>
          <w:kern w:val="0"/>
          <w:sz w:val="24"/>
        </w:rPr>
        <w:t>包装内。</w:t>
      </w:r>
    </w:p>
    <w:p w14:paraId="043383AE">
      <w:pPr>
        <w:spacing w:line="360" w:lineRule="auto"/>
        <w:ind w:firstLine="480" w:firstLineChars="200"/>
        <w:rPr>
          <w:rFonts w:hint="eastAsia" w:ascii="宋体" w:hAnsi="宋体" w:cs="宋体"/>
          <w:kern w:val="0"/>
          <w:sz w:val="24"/>
        </w:rPr>
      </w:pPr>
      <w:r>
        <w:rPr>
          <w:rFonts w:ascii="宋体" w:hAnsi="宋体" w:cs="宋体"/>
          <w:kern w:val="0"/>
          <w:sz w:val="24"/>
        </w:rPr>
        <w:t>1.2.3 每一密封</w:t>
      </w:r>
      <w:r>
        <w:rPr>
          <w:rFonts w:hint="eastAsia" w:ascii="宋体" w:hAnsi="宋体" w:cs="宋体"/>
          <w:kern w:val="0"/>
          <w:sz w:val="24"/>
        </w:rPr>
        <w:t>袋的封口处均应加盖密封章或供应商公章，</w:t>
      </w:r>
      <w:r>
        <w:rPr>
          <w:rFonts w:ascii="宋体" w:hAnsi="宋体" w:cs="宋体"/>
          <w:kern w:val="0"/>
          <w:sz w:val="24"/>
        </w:rPr>
        <w:t>并在封面上标明</w:t>
      </w:r>
      <w:r>
        <w:rPr>
          <w:rFonts w:hint="eastAsia" w:ascii="宋体" w:hAnsi="宋体" w:cs="宋体"/>
          <w:kern w:val="0"/>
          <w:sz w:val="24"/>
        </w:rPr>
        <w:t>采购项目名称、供应商名称及“在</w:t>
      </w:r>
      <w:r>
        <w:rPr>
          <w:rFonts w:ascii="宋体" w:hAnsi="宋体" w:cs="宋体"/>
          <w:kern w:val="0"/>
          <w:sz w:val="24"/>
        </w:rPr>
        <w:t>2025</w:t>
      </w:r>
      <w:r>
        <w:rPr>
          <w:rFonts w:hint="eastAsia" w:ascii="宋体" w:hAnsi="宋体" w:cs="宋体"/>
          <w:kern w:val="0"/>
          <w:sz w:val="24"/>
        </w:rPr>
        <w:t>年12月25日</w:t>
      </w:r>
      <w:r>
        <w:rPr>
          <w:rFonts w:ascii="宋体" w:hAnsi="宋体" w:cs="宋体"/>
          <w:kern w:val="0"/>
          <w:sz w:val="24"/>
        </w:rPr>
        <w:t>之前不准启封</w:t>
      </w:r>
      <w:r>
        <w:rPr>
          <w:rFonts w:hint="eastAsia" w:ascii="宋体" w:hAnsi="宋体" w:cs="宋体"/>
          <w:kern w:val="0"/>
          <w:sz w:val="24"/>
        </w:rPr>
        <w:t>”的</w:t>
      </w:r>
      <w:r>
        <w:rPr>
          <w:rFonts w:ascii="宋体" w:hAnsi="宋体" w:cs="宋体"/>
          <w:kern w:val="0"/>
          <w:sz w:val="24"/>
        </w:rPr>
        <w:t>字样。</w:t>
      </w:r>
    </w:p>
    <w:p w14:paraId="75D5F7D0">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1.3 </w:t>
      </w:r>
      <w:r>
        <w:rPr>
          <w:rFonts w:hint="eastAsia" w:ascii="宋体" w:hAnsi="宋体" w:cs="宋体"/>
          <w:kern w:val="0"/>
          <w:sz w:val="24"/>
        </w:rPr>
        <w:t>谈判文件</w:t>
      </w:r>
      <w:r>
        <w:rPr>
          <w:rFonts w:ascii="宋体" w:hAnsi="宋体" w:cs="宋体"/>
          <w:kern w:val="0"/>
          <w:sz w:val="24"/>
        </w:rPr>
        <w:t>的提交：供应商应</w:t>
      </w:r>
      <w:r>
        <w:rPr>
          <w:rFonts w:hint="eastAsia" w:ascii="宋体" w:hAnsi="宋体" w:cs="宋体"/>
          <w:kern w:val="0"/>
          <w:sz w:val="24"/>
        </w:rPr>
        <w:t>于谈判文件递交</w:t>
      </w:r>
      <w:r>
        <w:rPr>
          <w:rFonts w:ascii="宋体" w:hAnsi="宋体" w:cs="宋体"/>
          <w:kern w:val="0"/>
          <w:sz w:val="24"/>
        </w:rPr>
        <w:t>截止时间前由专人将</w:t>
      </w:r>
      <w:r>
        <w:rPr>
          <w:rFonts w:hint="eastAsia" w:ascii="宋体" w:hAnsi="宋体" w:cs="宋体"/>
          <w:kern w:val="0"/>
          <w:sz w:val="24"/>
        </w:rPr>
        <w:t>谈判文件</w:t>
      </w:r>
      <w:r>
        <w:rPr>
          <w:rFonts w:ascii="宋体" w:hAnsi="宋体" w:cs="宋体"/>
          <w:kern w:val="0"/>
          <w:sz w:val="24"/>
        </w:rPr>
        <w:t>送至</w:t>
      </w:r>
      <w:r>
        <w:rPr>
          <w:rFonts w:hint="eastAsia" w:ascii="宋体" w:hAnsi="宋体" w:cs="宋体"/>
          <w:kern w:val="0"/>
          <w:sz w:val="24"/>
        </w:rPr>
        <w:t>指定地点</w:t>
      </w:r>
      <w:r>
        <w:rPr>
          <w:rFonts w:ascii="宋体" w:hAnsi="宋体" w:cs="宋体"/>
          <w:kern w:val="0"/>
          <w:sz w:val="24"/>
        </w:rPr>
        <w:t>。</w:t>
      </w:r>
    </w:p>
    <w:p w14:paraId="6CAF2FDD">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 xml:space="preserve">1.4 </w:t>
      </w:r>
      <w:r>
        <w:rPr>
          <w:rFonts w:hint="eastAsia" w:ascii="宋体" w:hAnsi="宋体" w:cs="宋体"/>
          <w:kern w:val="0"/>
          <w:sz w:val="24"/>
        </w:rPr>
        <w:t>供应商</w:t>
      </w:r>
      <w:r>
        <w:rPr>
          <w:rFonts w:ascii="宋体" w:hAnsi="宋体" w:cs="宋体"/>
          <w:kern w:val="0"/>
          <w:sz w:val="24"/>
        </w:rPr>
        <w:t>在递交</w:t>
      </w:r>
      <w:r>
        <w:rPr>
          <w:rFonts w:hint="eastAsia" w:ascii="宋体" w:hAnsi="宋体" w:cs="宋体"/>
          <w:kern w:val="0"/>
          <w:sz w:val="24"/>
        </w:rPr>
        <w:t>谈判文件</w:t>
      </w:r>
      <w:r>
        <w:rPr>
          <w:rFonts w:ascii="宋体" w:hAnsi="宋体" w:cs="宋体"/>
          <w:kern w:val="0"/>
          <w:sz w:val="24"/>
        </w:rPr>
        <w:t>时，应同时出示谈判文件要求的资质证明文件的复印件</w:t>
      </w:r>
      <w:r>
        <w:rPr>
          <w:rFonts w:ascii="宋体" w:hAnsi="宋体" w:cs="宋体"/>
          <w:spacing w:val="-6"/>
          <w:kern w:val="0"/>
          <w:sz w:val="24"/>
        </w:rPr>
        <w:t>并加盖有效公章，并按目录排列</w:t>
      </w:r>
      <w:r>
        <w:rPr>
          <w:rFonts w:hint="eastAsia" w:ascii="宋体" w:hAnsi="宋体" w:cs="宋体"/>
          <w:kern w:val="0"/>
          <w:sz w:val="24"/>
        </w:rPr>
        <w:t>。</w:t>
      </w:r>
    </w:p>
    <w:p w14:paraId="7D38435F">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4B1CDD79">
      <w:pPr>
        <w:spacing w:line="360" w:lineRule="auto"/>
        <w:ind w:firstLine="480" w:firstLineChars="200"/>
        <w:rPr>
          <w:rFonts w:hint="eastAsia"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766D6125">
      <w:pPr>
        <w:spacing w:line="360" w:lineRule="auto"/>
        <w:ind w:firstLine="482" w:firstLineChars="200"/>
        <w:rPr>
          <w:rFonts w:hint="eastAsia"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3A980FF3">
      <w:pPr>
        <w:spacing w:line="360" w:lineRule="auto"/>
        <w:ind w:firstLine="480" w:firstLineChars="200"/>
        <w:rPr>
          <w:rFonts w:hint="eastAsia"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6A41F9F8">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621DEBF4">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0D239461">
      <w:pPr>
        <w:spacing w:line="360" w:lineRule="auto"/>
        <w:ind w:firstLine="480" w:firstLineChars="200"/>
        <w:rPr>
          <w:rFonts w:hint="eastAsia"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7526A322">
      <w:pPr>
        <w:spacing w:line="360" w:lineRule="auto"/>
        <w:ind w:firstLine="480" w:firstLineChars="200"/>
        <w:rPr>
          <w:rFonts w:hint="eastAsia"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0451AC2E">
      <w:pPr>
        <w:spacing w:line="360" w:lineRule="auto"/>
        <w:ind w:firstLine="482" w:firstLineChars="200"/>
        <w:rPr>
          <w:rFonts w:hint="eastAsia"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5B8C9D89">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.否决</w:t>
      </w:r>
    </w:p>
    <w:p w14:paraId="3D3175E4">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52394A80">
      <w:pPr>
        <w:spacing w:line="360" w:lineRule="auto"/>
        <w:ind w:firstLine="480" w:firstLineChars="200"/>
        <w:rPr>
          <w:rFonts w:hint="eastAsia" w:ascii="宋体" w:hAnsi="宋体"/>
          <w:kern w:val="0"/>
          <w:sz w:val="24"/>
        </w:rPr>
      </w:pPr>
      <w:r>
        <w:rPr>
          <w:rFonts w:hint="eastAsia" w:ascii="宋体" w:hAnsi="宋体"/>
          <w:kern w:val="0"/>
          <w:sz w:val="24"/>
        </w:rPr>
        <w:t>（1）逾期</w:t>
      </w:r>
      <w:r>
        <w:rPr>
          <w:rFonts w:ascii="宋体" w:hAnsi="宋体"/>
          <w:kern w:val="0"/>
          <w:sz w:val="24"/>
        </w:rPr>
        <w:t>送达的；</w:t>
      </w:r>
    </w:p>
    <w:p w14:paraId="7F95E8E8">
      <w:pPr>
        <w:spacing w:line="360" w:lineRule="auto"/>
        <w:ind w:firstLine="480" w:firstLineChars="200"/>
        <w:rPr>
          <w:rFonts w:hint="eastAsia" w:ascii="宋体" w:hAnsi="宋体"/>
          <w:kern w:val="0"/>
          <w:sz w:val="24"/>
        </w:rPr>
      </w:pPr>
      <w:r>
        <w:rPr>
          <w:rFonts w:hint="eastAsia" w:ascii="宋体" w:hAnsi="宋体"/>
          <w:kern w:val="0"/>
          <w:sz w:val="24"/>
        </w:rPr>
        <w:t>（</w:t>
      </w:r>
      <w:r>
        <w:rPr>
          <w:rFonts w:hint="eastAsia" w:ascii="宋体" w:hAnsi="宋体"/>
          <w:kern w:val="0"/>
          <w:sz w:val="24"/>
          <w:lang w:val="en-US" w:eastAsia="zh-CN"/>
        </w:rPr>
        <w:t>2</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66EF5522">
      <w:pPr>
        <w:spacing w:line="360" w:lineRule="auto"/>
        <w:ind w:firstLine="480" w:firstLineChars="200"/>
        <w:rPr>
          <w:rFonts w:hint="eastAsia"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27C3500C">
      <w:pPr>
        <w:spacing w:line="360" w:lineRule="auto"/>
        <w:ind w:firstLine="480" w:firstLineChars="200"/>
        <w:rPr>
          <w:rFonts w:hint="eastAsia"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2DBD2208">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.评审组织</w:t>
      </w:r>
    </w:p>
    <w:p w14:paraId="1068C967">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38CA425B">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3D7C4D3D">
      <w:pPr>
        <w:spacing w:line="360" w:lineRule="auto"/>
        <w:ind w:firstLine="480" w:firstLineChars="200"/>
        <w:rPr>
          <w:rFonts w:hint="eastAsia"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78F3E7F2">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3401FC5A">
      <w:pPr>
        <w:spacing w:line="360" w:lineRule="auto"/>
        <w:ind w:firstLine="480" w:firstLineChars="200"/>
        <w:rPr>
          <w:rFonts w:hint="eastAsia"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45069DF5">
      <w:pPr>
        <w:spacing w:line="360" w:lineRule="auto"/>
        <w:ind w:firstLine="480" w:firstLineChars="200"/>
        <w:rPr>
          <w:rFonts w:hint="eastAsia"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2C466F0B">
      <w:pPr>
        <w:spacing w:line="360" w:lineRule="auto"/>
        <w:ind w:firstLine="480" w:firstLineChars="200"/>
        <w:rPr>
          <w:rFonts w:hint="eastAsia"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10D21615">
      <w:pPr>
        <w:spacing w:line="360" w:lineRule="auto"/>
        <w:ind w:firstLine="480" w:firstLineChars="200"/>
        <w:rPr>
          <w:rFonts w:hint="eastAsia"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054248B7">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23EFC509">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31A3D366">
      <w:pPr>
        <w:spacing w:line="360" w:lineRule="auto"/>
        <w:ind w:firstLine="482" w:firstLineChars="200"/>
        <w:rPr>
          <w:rFonts w:hint="eastAsia"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65C39E27">
      <w:pPr>
        <w:spacing w:line="360" w:lineRule="auto"/>
        <w:ind w:firstLine="480" w:firstLineChars="200"/>
        <w:rPr>
          <w:rFonts w:hint="eastAsia"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47E59415">
      <w:pPr>
        <w:spacing w:line="360" w:lineRule="auto"/>
        <w:ind w:firstLine="482" w:firstLineChars="200"/>
        <w:rPr>
          <w:rFonts w:hint="eastAsia"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74598CE5">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59A3998E">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5A4D75E2">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78B9E480">
      <w:pPr>
        <w:spacing w:line="360" w:lineRule="auto"/>
        <w:ind w:firstLine="480" w:firstLineChars="200"/>
        <w:rPr>
          <w:rFonts w:hint="eastAsia"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688290BC">
      <w:pPr>
        <w:spacing w:line="360" w:lineRule="auto"/>
        <w:ind w:firstLine="480" w:firstLineChars="200"/>
        <w:rPr>
          <w:rFonts w:hint="eastAsia" w:ascii="宋体" w:hAnsi="宋体"/>
          <w:kern w:val="0"/>
          <w:sz w:val="24"/>
        </w:rPr>
      </w:pPr>
      <w:r>
        <w:rPr>
          <w:rFonts w:ascii="宋体" w:hAnsi="宋体"/>
          <w:kern w:val="0"/>
          <w:sz w:val="24"/>
        </w:rPr>
        <w:t xml:space="preserve">6.2.3 </w:t>
      </w:r>
      <w:r>
        <w:rPr>
          <w:rFonts w:hint="eastAsia" w:ascii="宋体" w:hAnsi="宋体"/>
          <w:kern w:val="0"/>
          <w:sz w:val="24"/>
        </w:rPr>
        <w:t>综合评分法：（对通过初步审查及资质审查的谈判文件以综合评估的方法予以排序、选定。主要考评因素包括商务和技术两个方面。按照谈判文件要求对各谈判文件进行综合评分。）</w:t>
      </w:r>
    </w:p>
    <w:p w14:paraId="5282A071">
      <w:pPr>
        <w:spacing w:line="360" w:lineRule="auto"/>
        <w:ind w:firstLine="480" w:firstLineChars="200"/>
        <w:rPr>
          <w:rFonts w:hint="eastAsia" w:ascii="宋体" w:hAnsi="宋体"/>
          <w:kern w:val="0"/>
          <w:sz w:val="24"/>
        </w:rPr>
      </w:pPr>
      <w:r>
        <w:rPr>
          <w:rFonts w:ascii="宋体" w:hAnsi="宋体"/>
          <w:kern w:val="0"/>
          <w:sz w:val="24"/>
        </w:rPr>
        <w:t xml:space="preserve">6.2.4 </w:t>
      </w:r>
      <w:r>
        <w:rPr>
          <w:rFonts w:hint="eastAsia" w:ascii="宋体" w:hAnsi="宋体"/>
          <w:kern w:val="0"/>
          <w:sz w:val="24"/>
        </w:rPr>
        <w:t>评分标准：</w:t>
      </w:r>
    </w:p>
    <w:p w14:paraId="0992BAA9">
      <w:pPr>
        <w:pStyle w:val="17"/>
      </w:pPr>
      <w:r>
        <w:rPr>
          <w:rFonts w:hint="eastAsia"/>
        </w:rPr>
        <w:t>综合评估法，综合评分相等时，以投标总报价低的优先。</w:t>
      </w:r>
    </w:p>
    <w:tbl>
      <w:tblPr>
        <w:tblStyle w:val="19"/>
        <w:tblW w:w="9305"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1"/>
        <w:gridCol w:w="1176"/>
        <w:gridCol w:w="1471"/>
        <w:gridCol w:w="914"/>
        <w:gridCol w:w="17"/>
        <w:gridCol w:w="4846"/>
      </w:tblGrid>
      <w:tr w14:paraId="7403C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881" w:type="dxa"/>
            <w:vMerge w:val="restart"/>
            <w:tcBorders>
              <w:top w:val="single" w:color="auto" w:sz="4" w:space="0"/>
              <w:right w:val="single" w:color="auto" w:sz="4" w:space="0"/>
            </w:tcBorders>
            <w:vAlign w:val="center"/>
          </w:tcPr>
          <w:p w14:paraId="795DB68B">
            <w:r>
              <w:rPr>
                <w:rFonts w:hint="eastAsia"/>
              </w:rPr>
              <w:t>2.2.1</w:t>
            </w:r>
          </w:p>
        </w:tc>
        <w:tc>
          <w:tcPr>
            <w:tcW w:w="1176" w:type="dxa"/>
            <w:vMerge w:val="restart"/>
            <w:tcBorders>
              <w:top w:val="single" w:color="auto" w:sz="4" w:space="0"/>
              <w:right w:val="single" w:color="auto" w:sz="4" w:space="0"/>
            </w:tcBorders>
            <w:vAlign w:val="center"/>
          </w:tcPr>
          <w:p w14:paraId="5907A68E">
            <w:r>
              <w:t>值构成</w:t>
            </w:r>
            <w:r>
              <w:rPr>
                <w:rFonts w:hint="eastAsia"/>
              </w:rPr>
              <w:t>(100分)</w:t>
            </w:r>
          </w:p>
        </w:tc>
        <w:tc>
          <w:tcPr>
            <w:tcW w:w="2402" w:type="dxa"/>
            <w:gridSpan w:val="3"/>
            <w:tcBorders>
              <w:top w:val="single" w:color="auto" w:sz="4" w:space="0"/>
              <w:left w:val="single" w:color="auto" w:sz="4" w:space="0"/>
              <w:bottom w:val="single" w:color="auto" w:sz="4" w:space="0"/>
              <w:right w:val="single" w:color="auto" w:sz="4" w:space="0"/>
            </w:tcBorders>
            <w:vAlign w:val="center"/>
          </w:tcPr>
          <w:p w14:paraId="1E768984">
            <w:r>
              <w:rPr>
                <w:rFonts w:hint="eastAsia"/>
              </w:rPr>
              <w:t>1、</w:t>
            </w:r>
            <w:r>
              <w:t>技术部分</w:t>
            </w:r>
          </w:p>
        </w:tc>
        <w:tc>
          <w:tcPr>
            <w:tcW w:w="4846" w:type="dxa"/>
            <w:tcBorders>
              <w:top w:val="single" w:color="auto" w:sz="4" w:space="0"/>
              <w:left w:val="single" w:color="auto" w:sz="4" w:space="0"/>
              <w:bottom w:val="single" w:color="auto" w:sz="4" w:space="0"/>
              <w:right w:val="single" w:color="auto" w:sz="4" w:space="0"/>
            </w:tcBorders>
            <w:vAlign w:val="center"/>
          </w:tcPr>
          <w:p w14:paraId="0F5FF8BB">
            <w:r>
              <w:t>4</w:t>
            </w:r>
            <w:r>
              <w:rPr>
                <w:rFonts w:hint="eastAsia"/>
              </w:rPr>
              <w:t>0</w:t>
            </w:r>
            <w:r>
              <w:t>分</w:t>
            </w:r>
          </w:p>
        </w:tc>
      </w:tr>
      <w:tr w14:paraId="65E3C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881" w:type="dxa"/>
            <w:vMerge w:val="continue"/>
            <w:tcBorders>
              <w:bottom w:val="single" w:color="auto" w:sz="4" w:space="0"/>
              <w:right w:val="single" w:color="auto" w:sz="4" w:space="0"/>
            </w:tcBorders>
            <w:vAlign w:val="center"/>
          </w:tcPr>
          <w:p w14:paraId="7FC7C7F6"/>
        </w:tc>
        <w:tc>
          <w:tcPr>
            <w:tcW w:w="1176" w:type="dxa"/>
            <w:vMerge w:val="continue"/>
            <w:tcBorders>
              <w:bottom w:val="single" w:color="auto" w:sz="4" w:space="0"/>
              <w:right w:val="single" w:color="auto" w:sz="4" w:space="0"/>
            </w:tcBorders>
            <w:vAlign w:val="center"/>
          </w:tcPr>
          <w:p w14:paraId="528F726D"/>
        </w:tc>
        <w:tc>
          <w:tcPr>
            <w:tcW w:w="2385" w:type="dxa"/>
            <w:gridSpan w:val="2"/>
            <w:tcBorders>
              <w:top w:val="single" w:color="auto" w:sz="4" w:space="0"/>
              <w:left w:val="single" w:color="auto" w:sz="4" w:space="0"/>
              <w:bottom w:val="single" w:color="auto" w:sz="4" w:space="0"/>
              <w:right w:val="single" w:color="auto" w:sz="4" w:space="0"/>
            </w:tcBorders>
            <w:vAlign w:val="center"/>
          </w:tcPr>
          <w:p w14:paraId="26A11EEE">
            <w:r>
              <w:rPr>
                <w:rFonts w:hint="eastAsia"/>
              </w:rPr>
              <w:t>2、</w:t>
            </w:r>
            <w:r>
              <w:t>投标</w:t>
            </w:r>
            <w:r>
              <w:rPr>
                <w:rFonts w:hint="eastAsia"/>
              </w:rPr>
              <w:t>总</w:t>
            </w:r>
            <w:r>
              <w:t>报价</w:t>
            </w:r>
            <w:r>
              <w:rPr>
                <w:rFonts w:hint="eastAsia"/>
              </w:rPr>
              <w:t>部分</w:t>
            </w:r>
          </w:p>
        </w:tc>
        <w:tc>
          <w:tcPr>
            <w:tcW w:w="4863" w:type="dxa"/>
            <w:gridSpan w:val="2"/>
            <w:tcBorders>
              <w:top w:val="single" w:color="auto" w:sz="4" w:space="0"/>
              <w:left w:val="single" w:color="auto" w:sz="4" w:space="0"/>
              <w:bottom w:val="single" w:color="auto" w:sz="4" w:space="0"/>
              <w:right w:val="single" w:color="auto" w:sz="4" w:space="0"/>
            </w:tcBorders>
            <w:vAlign w:val="center"/>
          </w:tcPr>
          <w:p w14:paraId="6470D4B8">
            <w:r>
              <w:t>6</w:t>
            </w:r>
            <w:r>
              <w:rPr>
                <w:rFonts w:hint="eastAsia"/>
              </w:rPr>
              <w:t>0</w:t>
            </w:r>
            <w:r>
              <w:t>分</w:t>
            </w:r>
          </w:p>
        </w:tc>
      </w:tr>
      <w:tr w14:paraId="514052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1" w:type="dxa"/>
            <w:vMerge w:val="restart"/>
            <w:tcBorders>
              <w:top w:val="single" w:color="auto" w:sz="4" w:space="0"/>
              <w:right w:val="single" w:color="auto" w:sz="4" w:space="0"/>
            </w:tcBorders>
            <w:vAlign w:val="center"/>
          </w:tcPr>
          <w:p w14:paraId="0744E681">
            <w:r>
              <w:rPr>
                <w:rFonts w:hint="eastAsia"/>
              </w:rPr>
              <w:t>2.2.2</w:t>
            </w:r>
          </w:p>
        </w:tc>
        <w:tc>
          <w:tcPr>
            <w:tcW w:w="1176" w:type="dxa"/>
            <w:vMerge w:val="restart"/>
            <w:tcBorders>
              <w:top w:val="single" w:color="auto" w:sz="4" w:space="0"/>
              <w:right w:val="single" w:color="auto" w:sz="4" w:space="0"/>
            </w:tcBorders>
            <w:vAlign w:val="center"/>
          </w:tcPr>
          <w:p w14:paraId="51044018">
            <w:r>
              <w:t>评</w:t>
            </w:r>
            <w:r>
              <w:rPr>
                <w:rFonts w:hint="eastAsia"/>
              </w:rPr>
              <w:t>分</w:t>
            </w:r>
            <w:r>
              <w:t>标准</w:t>
            </w:r>
          </w:p>
        </w:tc>
        <w:tc>
          <w:tcPr>
            <w:tcW w:w="1471" w:type="dxa"/>
            <w:tcBorders>
              <w:top w:val="single" w:color="auto" w:sz="4" w:space="0"/>
              <w:left w:val="single" w:color="auto" w:sz="4" w:space="0"/>
              <w:bottom w:val="single" w:color="auto" w:sz="4" w:space="0"/>
              <w:right w:val="single" w:color="auto" w:sz="4" w:space="0"/>
            </w:tcBorders>
            <w:vAlign w:val="center"/>
          </w:tcPr>
          <w:p w14:paraId="63FBC5D4">
            <w:r>
              <w:t>技术部分评分标准4</w:t>
            </w:r>
            <w:r>
              <w:rPr>
                <w:rFonts w:hint="eastAsia"/>
              </w:rPr>
              <w:t>0分</w:t>
            </w:r>
          </w:p>
        </w:tc>
        <w:tc>
          <w:tcPr>
            <w:tcW w:w="5777" w:type="dxa"/>
            <w:gridSpan w:val="3"/>
            <w:tcBorders>
              <w:top w:val="single" w:color="auto" w:sz="4" w:space="0"/>
              <w:left w:val="single" w:color="auto" w:sz="4" w:space="0"/>
              <w:bottom w:val="single" w:color="auto" w:sz="4" w:space="0"/>
              <w:right w:val="single" w:color="auto" w:sz="4" w:space="0"/>
            </w:tcBorders>
            <w:vAlign w:val="center"/>
          </w:tcPr>
          <w:p w14:paraId="1756BCAD">
            <w:pPr>
              <w:pStyle w:val="57"/>
              <w:widowControl/>
              <w:numPr>
                <w:ilvl w:val="0"/>
                <w:numId w:val="4"/>
              </w:numPr>
              <w:snapToGrid w:val="0"/>
              <w:ind w:firstLineChars="0"/>
            </w:pPr>
            <w:r>
              <w:t>对工程施工重点、技术关键点的理解和认识（8分）</w:t>
            </w:r>
            <w:r>
              <w:cr/>
            </w:r>
            <w:r>
              <w:t xml:space="preserve">    </w:t>
            </w:r>
            <w:r>
              <w:rPr>
                <w:rFonts w:hint="eastAsia"/>
              </w:rPr>
              <w:t>对本工程施工重点、技术关键点的理解和认识，并提供有效的解决方案及措施；提供详细的得</w:t>
            </w:r>
            <w:r>
              <w:t xml:space="preserve"> 5-8</w:t>
            </w:r>
            <w:r>
              <w:rPr>
                <w:rFonts w:hint="eastAsia"/>
              </w:rPr>
              <w:t>分，较详细的得</w:t>
            </w:r>
            <w:r>
              <w:t xml:space="preserve"> 1-4 分，未提供的得 0 分；</w:t>
            </w:r>
          </w:p>
          <w:p w14:paraId="0D5F4B5A"/>
          <w:p w14:paraId="19278C2B">
            <w:pPr>
              <w:pStyle w:val="57"/>
              <w:widowControl/>
              <w:numPr>
                <w:ilvl w:val="0"/>
                <w:numId w:val="4"/>
              </w:numPr>
              <w:snapToGrid w:val="0"/>
              <w:ind w:firstLineChars="0"/>
            </w:pPr>
            <w:r>
              <w:t>施工方案与技术措施（8 分）</w:t>
            </w:r>
            <w:r>
              <w:cr/>
            </w:r>
            <w:r>
              <w:t xml:space="preserve">    </w:t>
            </w:r>
            <w:r>
              <w:rPr>
                <w:rFonts w:hint="eastAsia"/>
              </w:rPr>
              <w:t>提供安全可靠、科学合理，符合实际的施工方案与技术措施得</w:t>
            </w:r>
            <w:r>
              <w:t xml:space="preserve"> 0-4 分；根据本项目施工内容和施工</w:t>
            </w:r>
            <w:r>
              <w:rPr>
                <w:rFonts w:hint="eastAsia"/>
              </w:rPr>
              <w:t>环境，提供针对本项目的详细专项方案</w:t>
            </w:r>
            <w:r>
              <w:t xml:space="preserve"> 0-4 分，如专项方</w:t>
            </w:r>
            <w:r>
              <w:rPr>
                <w:rFonts w:hint="eastAsia"/>
              </w:rPr>
              <w:t>案照抄通用专项方案得</w:t>
            </w:r>
            <w:r>
              <w:t xml:space="preserve"> 0 分；</w:t>
            </w:r>
          </w:p>
          <w:p w14:paraId="61D4CEDA">
            <w:pPr>
              <w:pStyle w:val="57"/>
              <w:ind w:firstLine="0" w:firstLineChars="0"/>
            </w:pPr>
          </w:p>
          <w:p w14:paraId="53DB3F54">
            <w:pPr>
              <w:pStyle w:val="57"/>
              <w:widowControl/>
              <w:numPr>
                <w:ilvl w:val="0"/>
                <w:numId w:val="4"/>
              </w:numPr>
              <w:snapToGrid w:val="0"/>
              <w:ind w:firstLineChars="0"/>
            </w:pPr>
            <w:r>
              <w:t>质量管理体系与措施（6分）</w:t>
            </w:r>
            <w:r>
              <w:cr/>
            </w:r>
            <w:r>
              <w:t xml:space="preserve">  提</w:t>
            </w:r>
            <w:r>
              <w:rPr>
                <w:rFonts w:hint="eastAsia"/>
              </w:rPr>
              <w:t>供本工程总的质量管理制度，明确具体的、可行的质量管理制度；应至少包含质量目标、质量保证体系、质量管理措施、质量的具体要求，提供以上内容得</w:t>
            </w:r>
            <w:r>
              <w:t xml:space="preserve"> 0-3 分；同时详细提供与本项目相关的钢结构、管道防</w:t>
            </w:r>
            <w:r>
              <w:rPr>
                <w:rFonts w:hint="eastAsia"/>
              </w:rPr>
              <w:t>腐和焊接施工质量保证措施和电气施工质量保证措施得</w:t>
            </w:r>
            <w:r>
              <w:t>0-3 分；</w:t>
            </w:r>
          </w:p>
          <w:p w14:paraId="303660DA">
            <w:pPr>
              <w:pStyle w:val="57"/>
              <w:widowControl/>
              <w:numPr>
                <w:ilvl w:val="0"/>
                <w:numId w:val="4"/>
              </w:numPr>
              <w:snapToGrid w:val="0"/>
              <w:ind w:firstLineChars="0"/>
            </w:pPr>
            <w:r>
              <w:t>安全管理体系与措施（6分）</w:t>
            </w:r>
            <w:r>
              <w:cr/>
            </w:r>
            <w:r>
              <w:t xml:space="preserve">  </w:t>
            </w:r>
            <w:r>
              <w:rPr>
                <w:rFonts w:hint="eastAsia"/>
              </w:rPr>
              <w:t>提供本项目安全管理制度，明确具体的、可行的安全管理制度；应至少包含安全目标、安全管理体系、安全保证措施、劳动安全措施、交通安全措施，提供以上内容得</w:t>
            </w:r>
            <w:r>
              <w:t xml:space="preserve"> 0-3 分；根据本项目施工内容和施工环境重点</w:t>
            </w:r>
            <w:r>
              <w:rPr>
                <w:rFonts w:hint="eastAsia"/>
              </w:rPr>
              <w:t>识别安全风险点，并制定相对应的措施得</w:t>
            </w:r>
            <w:r>
              <w:t xml:space="preserve"> 0-3 分；</w:t>
            </w:r>
          </w:p>
          <w:p w14:paraId="3DAB0FBF">
            <w:pPr>
              <w:pStyle w:val="57"/>
              <w:widowControl/>
              <w:numPr>
                <w:ilvl w:val="0"/>
                <w:numId w:val="4"/>
              </w:numPr>
              <w:snapToGrid w:val="0"/>
              <w:ind w:firstLineChars="0"/>
            </w:pPr>
            <w:r>
              <w:t>环境保护管理体系措施（4 分）</w:t>
            </w:r>
            <w:r>
              <w:cr/>
            </w:r>
            <w:r>
              <w:t xml:space="preserve">    </w:t>
            </w:r>
            <w:r>
              <w:rPr>
                <w:rFonts w:hint="eastAsia"/>
              </w:rPr>
              <w:t>提供本项目环境保护管理制度，明确具体的、可行的安全管理制度；应至少包含环境保护机构、环境保护目标、环境保护措施、环境保护体系，提供以上内容得</w:t>
            </w:r>
            <w:r>
              <w:t xml:space="preserve"> 0-2 分；根据本项目施工环境和特点识别存在的环境</w:t>
            </w:r>
            <w:r>
              <w:rPr>
                <w:rFonts w:hint="eastAsia"/>
              </w:rPr>
              <w:t>风险点，并制定相对应的控制措施得</w:t>
            </w:r>
            <w:r>
              <w:t xml:space="preserve"> 0-2 分；</w:t>
            </w:r>
          </w:p>
          <w:p w14:paraId="4895EB6E">
            <w:pPr>
              <w:pStyle w:val="57"/>
              <w:ind w:firstLine="0" w:firstLineChars="0"/>
            </w:pPr>
          </w:p>
          <w:p w14:paraId="478A8F9D">
            <w:pPr>
              <w:pStyle w:val="57"/>
              <w:widowControl/>
              <w:numPr>
                <w:ilvl w:val="0"/>
                <w:numId w:val="4"/>
              </w:numPr>
              <w:snapToGrid w:val="0"/>
              <w:ind w:firstLineChars="0"/>
            </w:pPr>
            <w:r>
              <w:t>工程进度计划与措施（8 分）</w:t>
            </w:r>
          </w:p>
          <w:p w14:paraId="26033BCD">
            <w:pPr>
              <w:ind w:firstLine="420" w:firstLineChars="200"/>
            </w:pPr>
            <w:r>
              <w:rPr>
                <w:rFonts w:hint="eastAsia"/>
              </w:rPr>
              <w:t>以网络图形式编制工期计划；提供总施工进度计划、工期保障具体措施、赶工措施得</w:t>
            </w:r>
            <w:r>
              <w:t xml:space="preserve"> 0-4 分；提供</w:t>
            </w:r>
            <w:r>
              <w:rPr>
                <w:rFonts w:hint="eastAsia"/>
              </w:rPr>
              <w:t>节点工期的详细进度计划和保障措施得</w:t>
            </w:r>
            <w:r>
              <w:t xml:space="preserve"> 0-4 分；</w:t>
            </w:r>
          </w:p>
        </w:tc>
      </w:tr>
      <w:tr w14:paraId="3B8D9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881" w:type="dxa"/>
            <w:vMerge w:val="continue"/>
            <w:tcBorders>
              <w:bottom w:val="single" w:color="auto" w:sz="4" w:space="0"/>
              <w:right w:val="single" w:color="auto" w:sz="4" w:space="0"/>
            </w:tcBorders>
            <w:vAlign w:val="center"/>
          </w:tcPr>
          <w:p w14:paraId="345AFB44"/>
        </w:tc>
        <w:tc>
          <w:tcPr>
            <w:tcW w:w="1176" w:type="dxa"/>
            <w:vMerge w:val="continue"/>
            <w:tcBorders>
              <w:bottom w:val="single" w:color="auto" w:sz="4" w:space="0"/>
              <w:right w:val="single" w:color="auto" w:sz="4" w:space="0"/>
            </w:tcBorders>
            <w:vAlign w:val="center"/>
          </w:tcPr>
          <w:p w14:paraId="13ABF01E"/>
        </w:tc>
        <w:tc>
          <w:tcPr>
            <w:tcW w:w="1471" w:type="dxa"/>
            <w:tcBorders>
              <w:top w:val="single" w:color="auto" w:sz="4" w:space="0"/>
              <w:left w:val="single" w:color="auto" w:sz="4" w:space="0"/>
              <w:bottom w:val="single" w:color="auto" w:sz="4" w:space="0"/>
              <w:right w:val="single" w:color="auto" w:sz="4" w:space="0"/>
            </w:tcBorders>
            <w:vAlign w:val="center"/>
          </w:tcPr>
          <w:p w14:paraId="054EAC3C">
            <w:r>
              <w:t>投标</w:t>
            </w:r>
            <w:r>
              <w:rPr>
                <w:rFonts w:hint="eastAsia"/>
              </w:rPr>
              <w:t>总</w:t>
            </w:r>
            <w:r>
              <w:t>报价评分标准6</w:t>
            </w:r>
            <w:r>
              <w:rPr>
                <w:rFonts w:hint="eastAsia"/>
              </w:rPr>
              <w:t>0分</w:t>
            </w:r>
          </w:p>
        </w:tc>
        <w:tc>
          <w:tcPr>
            <w:tcW w:w="5777" w:type="dxa"/>
            <w:gridSpan w:val="3"/>
            <w:tcBorders>
              <w:left w:val="single" w:color="auto" w:sz="4" w:space="0"/>
              <w:bottom w:val="single" w:color="auto" w:sz="4" w:space="0"/>
              <w:right w:val="single" w:color="auto" w:sz="4" w:space="0"/>
            </w:tcBorders>
            <w:vAlign w:val="center"/>
          </w:tcPr>
          <w:p w14:paraId="2F84FC9F">
            <w:r>
              <w:rPr>
                <w:rFonts w:hint="eastAsia"/>
              </w:rPr>
              <w:t>评标基准价计算方法</w:t>
            </w:r>
          </w:p>
          <w:p w14:paraId="3E3F688C">
            <w:r>
              <w:rPr>
                <w:rFonts w:hint="eastAsia"/>
              </w:rPr>
              <w:t>1、所有通过初步评审合格的投标人的投标总报价中去掉六分之一（不能整除的按小数点前整数取整，不足六家报价则不去掉）的最低价和相同家数的最高价后的算术平均值作为投标总报价的评标基准价，以上计算取小数点后两位，第三位四舍五入。</w:t>
            </w:r>
          </w:p>
          <w:p w14:paraId="7E216B98">
            <w:r>
              <w:t>2、</w:t>
            </w:r>
            <w:r>
              <w:rPr>
                <w:rFonts w:hint="eastAsia"/>
              </w:rPr>
              <w:t>所有通过初步评审得规定分值的满分</w:t>
            </w:r>
            <w:r>
              <w:rPr>
                <w:rFonts w:hint="eastAsia"/>
                <w:u w:val="single"/>
              </w:rPr>
              <w:t xml:space="preserve"> </w:t>
            </w:r>
            <w:r>
              <w:rPr>
                <w:u w:val="single"/>
              </w:rPr>
              <w:t>6</w:t>
            </w:r>
            <w:r>
              <w:rPr>
                <w:rFonts w:hint="eastAsia"/>
                <w:u w:val="single"/>
              </w:rPr>
              <w:t xml:space="preserve">0 </w:t>
            </w:r>
            <w:r>
              <w:rPr>
                <w:rFonts w:hint="eastAsia"/>
              </w:rPr>
              <w:t>分。在此基础上，投标总报价与评标基准价相比，每增加1%扣</w:t>
            </w:r>
            <w:r>
              <w:rPr>
                <w:rFonts w:hint="eastAsia"/>
                <w:u w:val="single"/>
              </w:rPr>
              <w:t>1</w:t>
            </w:r>
            <w:r>
              <w:rPr>
                <w:rFonts w:hint="eastAsia"/>
              </w:rPr>
              <w:t>分，扣完为止，低于评标基准价的不加分、不扣分。</w:t>
            </w:r>
          </w:p>
          <w:p w14:paraId="414F6577">
            <w:r>
              <w:rPr>
                <w:rFonts w:hint="eastAsia"/>
              </w:rPr>
              <w:t>按插入法计算得分。</w:t>
            </w:r>
          </w:p>
          <w:p w14:paraId="3D52742C">
            <w:r>
              <w:rPr>
                <w:rFonts w:hint="eastAsia"/>
              </w:rPr>
              <w:t>未参与评标基准价计算的投标报价，仍应参加计算相应分值。</w:t>
            </w:r>
          </w:p>
          <w:p w14:paraId="04117754">
            <w:pPr>
              <w:pStyle w:val="7"/>
            </w:pPr>
            <w:r>
              <w:rPr>
                <w:rFonts w:hint="eastAsia"/>
              </w:rPr>
              <w:t>投标总报价得分最终结果取小数点后两位，第三位四舍五入。</w:t>
            </w:r>
          </w:p>
          <w:p w14:paraId="612F63B6"/>
        </w:tc>
      </w:tr>
    </w:tbl>
    <w:p w14:paraId="64F2CD8B">
      <w:pPr>
        <w:spacing w:line="360" w:lineRule="auto"/>
        <w:rPr>
          <w:rFonts w:hint="eastAsia" w:ascii="宋体" w:hAnsi="宋体"/>
          <w:kern w:val="0"/>
          <w:sz w:val="24"/>
        </w:rPr>
      </w:pPr>
    </w:p>
    <w:p w14:paraId="7535D851">
      <w:pPr>
        <w:spacing w:line="360" w:lineRule="auto"/>
        <w:rPr>
          <w:rFonts w:hint="eastAsia" w:ascii="宋体" w:hAnsi="宋体"/>
          <w:kern w:val="0"/>
          <w:sz w:val="24"/>
        </w:rPr>
      </w:pPr>
    </w:p>
    <w:p w14:paraId="3D72DD18">
      <w:pPr>
        <w:spacing w:line="360" w:lineRule="auto"/>
        <w:ind w:firstLine="482" w:firstLineChars="200"/>
        <w:rPr>
          <w:rFonts w:hint="eastAsia" w:ascii="宋体" w:hAnsi="宋体"/>
          <w:b/>
          <w:kern w:val="0"/>
          <w:sz w:val="24"/>
        </w:rPr>
      </w:pPr>
      <w:r>
        <w:rPr>
          <w:rFonts w:ascii="宋体" w:hAnsi="宋体"/>
          <w:b/>
          <w:kern w:val="0"/>
          <w:sz w:val="24"/>
        </w:rPr>
        <w:t>7.</w:t>
      </w:r>
      <w:r>
        <w:rPr>
          <w:rFonts w:hint="eastAsia" w:ascii="宋体" w:hAnsi="宋体"/>
          <w:b/>
          <w:kern w:val="0"/>
          <w:sz w:val="24"/>
        </w:rPr>
        <w:t>保密</w:t>
      </w:r>
    </w:p>
    <w:p w14:paraId="046B8D08">
      <w:pPr>
        <w:spacing w:line="360" w:lineRule="auto"/>
        <w:ind w:firstLine="480" w:firstLineChars="200"/>
        <w:rPr>
          <w:rFonts w:hint="eastAsia"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2ED98446">
      <w:pPr>
        <w:spacing w:line="360" w:lineRule="auto"/>
        <w:ind w:firstLine="482" w:firstLineChars="200"/>
        <w:rPr>
          <w:rFonts w:hint="eastAsia" w:ascii="宋体" w:hAnsi="宋体"/>
          <w:b/>
          <w:kern w:val="0"/>
          <w:sz w:val="24"/>
        </w:rPr>
      </w:pPr>
      <w:r>
        <w:rPr>
          <w:rFonts w:hint="eastAsia" w:ascii="宋体" w:hAnsi="宋体"/>
          <w:b/>
          <w:kern w:val="0"/>
          <w:sz w:val="24"/>
        </w:rPr>
        <w:t>六</w:t>
      </w:r>
      <w:r>
        <w:rPr>
          <w:rFonts w:ascii="宋体" w:hAnsi="宋体"/>
          <w:b/>
          <w:kern w:val="0"/>
          <w:sz w:val="24"/>
        </w:rPr>
        <w:t>、授予合同</w:t>
      </w:r>
    </w:p>
    <w:p w14:paraId="7BDA6CAE">
      <w:pPr>
        <w:spacing w:line="360" w:lineRule="auto"/>
        <w:ind w:firstLine="482" w:firstLineChars="200"/>
        <w:rPr>
          <w:rFonts w:hint="eastAsia"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68A481BD">
      <w:pPr>
        <w:spacing w:line="360" w:lineRule="auto"/>
        <w:ind w:firstLine="480" w:firstLineChars="200"/>
        <w:rPr>
          <w:rFonts w:hint="eastAsia"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690F5C02">
      <w:pPr>
        <w:spacing w:line="360" w:lineRule="auto"/>
        <w:ind w:firstLine="480" w:firstLineChars="200"/>
        <w:rPr>
          <w:rFonts w:hint="eastAsia"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4B94CC9B">
      <w:pPr>
        <w:spacing w:line="360" w:lineRule="auto"/>
        <w:ind w:firstLine="480" w:firstLineChars="200"/>
        <w:rPr>
          <w:rFonts w:hint="eastAsia"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74AAE016">
      <w:pPr>
        <w:spacing w:line="360" w:lineRule="auto"/>
        <w:ind w:firstLine="482" w:firstLineChars="200"/>
        <w:rPr>
          <w:rFonts w:hint="eastAsia"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78A605E6">
      <w:pPr>
        <w:spacing w:line="360" w:lineRule="auto"/>
        <w:ind w:firstLine="480" w:firstLineChars="200"/>
        <w:rPr>
          <w:rFonts w:hint="eastAsia"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0C30D222">
      <w:pPr>
        <w:spacing w:line="360" w:lineRule="auto"/>
        <w:ind w:firstLine="480" w:firstLineChars="200"/>
        <w:rPr>
          <w:rFonts w:hint="eastAsia"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4D3872CB">
      <w:pPr>
        <w:spacing w:line="360" w:lineRule="auto"/>
        <w:ind w:firstLine="480" w:firstLineChars="200"/>
        <w:rPr>
          <w:rFonts w:hint="eastAsia"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31A0B8F6">
      <w:pPr>
        <w:spacing w:line="360" w:lineRule="auto"/>
        <w:ind w:firstLine="482" w:firstLineChars="200"/>
        <w:rPr>
          <w:rFonts w:hint="eastAsia"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679BF9C0">
      <w:pPr>
        <w:spacing w:line="360" w:lineRule="auto"/>
        <w:ind w:firstLine="480" w:firstLineChars="200"/>
        <w:rPr>
          <w:rFonts w:hint="eastAsia"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32DF29D4">
      <w:pPr>
        <w:spacing w:line="360" w:lineRule="auto"/>
        <w:ind w:firstLine="482" w:firstLineChars="200"/>
        <w:rPr>
          <w:rFonts w:hint="eastAsia"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176B9CA7">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sz w:val="24"/>
        </w:rPr>
        <w:t>15</w:t>
      </w:r>
      <w:r>
        <w:rPr>
          <w:rFonts w:ascii="宋体" w:hAnsi="宋体"/>
          <w:sz w:val="24"/>
        </w:rPr>
        <w:t>日内签订</w:t>
      </w:r>
      <w:r>
        <w:rPr>
          <w:rFonts w:hint="eastAsia" w:ascii="宋体" w:hAnsi="宋体"/>
          <w:sz w:val="24"/>
        </w:rPr>
        <w:t>书面</w:t>
      </w:r>
      <w:r>
        <w:rPr>
          <w:rFonts w:ascii="宋体" w:hAnsi="宋体"/>
          <w:sz w:val="24"/>
        </w:rPr>
        <w:t>合同</w:t>
      </w:r>
      <w:r>
        <w:rPr>
          <w:rFonts w:ascii="宋体" w:hAnsi="宋体"/>
          <w:kern w:val="0"/>
          <w:sz w:val="24"/>
        </w:rPr>
        <w:t>。</w:t>
      </w:r>
    </w:p>
    <w:p w14:paraId="51BDC462">
      <w:pPr>
        <w:spacing w:line="360" w:lineRule="auto"/>
        <w:ind w:firstLine="480" w:firstLineChars="200"/>
        <w:rPr>
          <w:rFonts w:hint="eastAsia"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54E91076">
      <w:pPr>
        <w:widowControl/>
        <w:jc w:val="left"/>
        <w:rPr>
          <w:rFonts w:hint="eastAsia"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3E69E9E2">
      <w:pPr>
        <w:widowControl/>
        <w:jc w:val="center"/>
        <w:rPr>
          <w:rFonts w:hint="eastAsia" w:ascii="宋体" w:hAnsi="宋体"/>
          <w:kern w:val="0"/>
          <w:sz w:val="28"/>
          <w:szCs w:val="28"/>
        </w:rPr>
      </w:pPr>
    </w:p>
    <w:p w14:paraId="66C06236">
      <w:pPr>
        <w:widowControl/>
        <w:jc w:val="center"/>
        <w:rPr>
          <w:rFonts w:hint="eastAsia" w:ascii="宋体" w:hAnsi="宋体"/>
          <w:kern w:val="0"/>
          <w:sz w:val="28"/>
          <w:szCs w:val="28"/>
        </w:rPr>
      </w:pPr>
    </w:p>
    <w:p w14:paraId="0CBFE06B">
      <w:pPr>
        <w:widowControl/>
        <w:jc w:val="center"/>
        <w:rPr>
          <w:rFonts w:hint="eastAsia" w:ascii="宋体" w:hAnsi="宋体"/>
          <w:kern w:val="0"/>
          <w:sz w:val="28"/>
          <w:szCs w:val="28"/>
        </w:rPr>
      </w:pPr>
    </w:p>
    <w:p w14:paraId="2E847960">
      <w:pPr>
        <w:widowControl/>
        <w:jc w:val="center"/>
        <w:rPr>
          <w:rFonts w:hint="eastAsia" w:ascii="宋体" w:hAnsi="宋体"/>
          <w:kern w:val="0"/>
          <w:sz w:val="28"/>
          <w:szCs w:val="28"/>
        </w:rPr>
      </w:pPr>
    </w:p>
    <w:p w14:paraId="5D6243D0">
      <w:pPr>
        <w:widowControl/>
        <w:jc w:val="center"/>
        <w:rPr>
          <w:rFonts w:hint="eastAsia" w:ascii="宋体" w:hAnsi="宋体"/>
          <w:kern w:val="0"/>
          <w:sz w:val="28"/>
          <w:szCs w:val="28"/>
        </w:rPr>
      </w:pPr>
    </w:p>
    <w:p w14:paraId="264C8FA5">
      <w:pPr>
        <w:widowControl/>
        <w:jc w:val="center"/>
        <w:rPr>
          <w:rFonts w:hint="eastAsia" w:ascii="宋体" w:hAnsi="宋体"/>
          <w:kern w:val="0"/>
          <w:sz w:val="28"/>
          <w:szCs w:val="28"/>
        </w:rPr>
      </w:pPr>
    </w:p>
    <w:p w14:paraId="4B7AE289">
      <w:pPr>
        <w:widowControl/>
        <w:jc w:val="center"/>
        <w:rPr>
          <w:rFonts w:hint="eastAsia" w:ascii="宋体" w:hAnsi="宋体"/>
          <w:kern w:val="0"/>
          <w:sz w:val="28"/>
          <w:szCs w:val="28"/>
        </w:rPr>
      </w:pPr>
    </w:p>
    <w:p w14:paraId="08B1F4B2">
      <w:pPr>
        <w:widowControl/>
        <w:jc w:val="center"/>
        <w:rPr>
          <w:rFonts w:hint="eastAsia" w:ascii="宋体" w:hAnsi="宋体"/>
          <w:kern w:val="0"/>
          <w:sz w:val="28"/>
          <w:szCs w:val="28"/>
        </w:rPr>
      </w:pPr>
    </w:p>
    <w:p w14:paraId="4503EB45">
      <w:pPr>
        <w:widowControl/>
        <w:jc w:val="center"/>
        <w:rPr>
          <w:rFonts w:hint="eastAsia" w:ascii="宋体" w:hAnsi="宋体"/>
          <w:kern w:val="0"/>
          <w:sz w:val="28"/>
          <w:szCs w:val="28"/>
        </w:rPr>
      </w:pPr>
    </w:p>
    <w:p w14:paraId="652F1ACE">
      <w:pPr>
        <w:widowControl/>
        <w:jc w:val="center"/>
        <w:rPr>
          <w:rFonts w:hint="eastAsia" w:ascii="宋体" w:hAnsi="宋体"/>
          <w:kern w:val="0"/>
          <w:sz w:val="28"/>
          <w:szCs w:val="28"/>
        </w:rPr>
      </w:pPr>
    </w:p>
    <w:p w14:paraId="628BC05A">
      <w:pPr>
        <w:widowControl/>
        <w:jc w:val="center"/>
        <w:rPr>
          <w:rFonts w:hint="eastAsia" w:ascii="宋体" w:hAnsi="宋体"/>
          <w:kern w:val="0"/>
          <w:sz w:val="28"/>
          <w:szCs w:val="28"/>
        </w:rPr>
      </w:pPr>
    </w:p>
    <w:p w14:paraId="01F59042">
      <w:pPr>
        <w:widowControl/>
        <w:jc w:val="center"/>
        <w:rPr>
          <w:rFonts w:hint="eastAsia" w:ascii="宋体" w:hAnsi="宋体"/>
          <w:kern w:val="0"/>
          <w:sz w:val="28"/>
          <w:szCs w:val="28"/>
        </w:rPr>
      </w:pPr>
    </w:p>
    <w:p w14:paraId="59019F3E">
      <w:pPr>
        <w:widowControl/>
        <w:jc w:val="center"/>
        <w:rPr>
          <w:rFonts w:hint="eastAsia" w:ascii="宋体" w:hAnsi="宋体"/>
          <w:kern w:val="0"/>
          <w:sz w:val="28"/>
          <w:szCs w:val="28"/>
        </w:rPr>
      </w:pPr>
    </w:p>
    <w:p w14:paraId="4AEF14D4">
      <w:pPr>
        <w:widowControl/>
        <w:jc w:val="center"/>
        <w:rPr>
          <w:rFonts w:hint="eastAsia" w:ascii="宋体" w:hAnsi="宋体"/>
          <w:kern w:val="0"/>
          <w:sz w:val="28"/>
          <w:szCs w:val="28"/>
        </w:rPr>
      </w:pPr>
    </w:p>
    <w:p w14:paraId="4893F0CD">
      <w:pPr>
        <w:widowControl/>
        <w:jc w:val="center"/>
        <w:rPr>
          <w:rFonts w:hint="eastAsia" w:ascii="宋体" w:hAnsi="宋体"/>
          <w:kern w:val="0"/>
          <w:sz w:val="28"/>
          <w:szCs w:val="28"/>
        </w:rPr>
      </w:pPr>
    </w:p>
    <w:p w14:paraId="78A3F7A3">
      <w:pPr>
        <w:widowControl/>
        <w:jc w:val="center"/>
        <w:rPr>
          <w:rFonts w:hint="eastAsia" w:ascii="宋体" w:hAnsi="宋体"/>
          <w:kern w:val="0"/>
          <w:sz w:val="28"/>
          <w:szCs w:val="28"/>
        </w:rPr>
      </w:pPr>
    </w:p>
    <w:p w14:paraId="270C3035">
      <w:pPr>
        <w:widowControl/>
        <w:jc w:val="center"/>
        <w:rPr>
          <w:rFonts w:hint="eastAsia" w:ascii="宋体" w:hAnsi="宋体"/>
          <w:kern w:val="0"/>
          <w:sz w:val="28"/>
          <w:szCs w:val="28"/>
        </w:rPr>
      </w:pPr>
    </w:p>
    <w:p w14:paraId="355C577E">
      <w:pPr>
        <w:widowControl/>
        <w:jc w:val="center"/>
        <w:rPr>
          <w:rFonts w:hint="eastAsia" w:ascii="宋体" w:hAnsi="宋体"/>
          <w:kern w:val="0"/>
          <w:sz w:val="28"/>
          <w:szCs w:val="28"/>
        </w:rPr>
      </w:pPr>
    </w:p>
    <w:p w14:paraId="4EF8FC04">
      <w:pPr>
        <w:widowControl/>
        <w:jc w:val="center"/>
        <w:rPr>
          <w:rFonts w:hint="eastAsia" w:ascii="宋体" w:hAnsi="宋体"/>
          <w:kern w:val="0"/>
          <w:sz w:val="28"/>
          <w:szCs w:val="28"/>
        </w:rPr>
      </w:pPr>
    </w:p>
    <w:p w14:paraId="3B90979F">
      <w:pPr>
        <w:widowControl/>
        <w:jc w:val="center"/>
        <w:rPr>
          <w:rFonts w:hint="eastAsia" w:ascii="宋体" w:hAnsi="宋体"/>
          <w:kern w:val="0"/>
          <w:sz w:val="28"/>
          <w:szCs w:val="28"/>
        </w:rPr>
      </w:pPr>
    </w:p>
    <w:p w14:paraId="1081928C">
      <w:pPr>
        <w:widowControl/>
        <w:jc w:val="center"/>
        <w:rPr>
          <w:rFonts w:hint="eastAsia" w:ascii="宋体" w:hAnsi="宋体"/>
          <w:kern w:val="0"/>
          <w:sz w:val="28"/>
          <w:szCs w:val="28"/>
        </w:rPr>
      </w:pPr>
    </w:p>
    <w:p w14:paraId="559404FC">
      <w:pPr>
        <w:widowControl/>
        <w:jc w:val="center"/>
        <w:rPr>
          <w:rFonts w:hint="eastAsia" w:ascii="宋体" w:hAnsi="宋体"/>
          <w:kern w:val="0"/>
          <w:sz w:val="28"/>
          <w:szCs w:val="28"/>
        </w:rPr>
      </w:pPr>
    </w:p>
    <w:p w14:paraId="4402A66C">
      <w:pPr>
        <w:widowControl/>
        <w:jc w:val="center"/>
        <w:rPr>
          <w:rFonts w:hint="eastAsia" w:ascii="宋体" w:hAnsi="宋体"/>
          <w:kern w:val="0"/>
          <w:sz w:val="28"/>
          <w:szCs w:val="28"/>
        </w:rPr>
      </w:pPr>
    </w:p>
    <w:p w14:paraId="624F1331">
      <w:pPr>
        <w:widowControl/>
        <w:jc w:val="center"/>
        <w:rPr>
          <w:rFonts w:hint="eastAsia" w:ascii="宋体" w:hAnsi="宋体"/>
          <w:kern w:val="0"/>
          <w:sz w:val="28"/>
          <w:szCs w:val="28"/>
        </w:rPr>
      </w:pPr>
    </w:p>
    <w:p w14:paraId="5A81046E">
      <w:pPr>
        <w:widowControl/>
        <w:jc w:val="center"/>
        <w:rPr>
          <w:rFonts w:hint="eastAsia" w:ascii="宋体" w:hAnsi="宋体"/>
          <w:kern w:val="0"/>
          <w:sz w:val="28"/>
          <w:szCs w:val="28"/>
        </w:rPr>
      </w:pPr>
    </w:p>
    <w:p w14:paraId="76057D40">
      <w:pPr>
        <w:pStyle w:val="3"/>
        <w:spacing w:before="240" w:beforeLines="100" w:after="360" w:afterLines="150" w:line="276" w:lineRule="auto"/>
        <w:jc w:val="center"/>
        <w:rPr>
          <w:rFonts w:hint="eastAsia"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65644365">
      <w:pPr>
        <w:rPr>
          <w:rFonts w:hint="eastAsia" w:ascii="宋体" w:hAnsi="宋体"/>
          <w:b/>
          <w:kern w:val="0"/>
          <w:sz w:val="24"/>
        </w:rPr>
      </w:pPr>
    </w:p>
    <w:p w14:paraId="404430E7">
      <w:pPr>
        <w:ind w:firstLine="643" w:firstLineChars="200"/>
        <w:jc w:val="center"/>
        <w:rPr>
          <w:rFonts w:hint="eastAsia" w:ascii="宋体" w:hAnsi="宋体"/>
          <w:b/>
          <w:kern w:val="0"/>
          <w:sz w:val="32"/>
        </w:rPr>
      </w:pPr>
      <w:r>
        <w:rPr>
          <w:rFonts w:hint="eastAsia" w:ascii="宋体" w:hAnsi="宋体"/>
          <w:b/>
          <w:kern w:val="0"/>
          <w:sz w:val="32"/>
        </w:rPr>
        <w:t>附件1 谈判响应书</w:t>
      </w:r>
    </w:p>
    <w:p w14:paraId="4B76D2FA">
      <w:pPr>
        <w:rPr>
          <w:rFonts w:hint="eastAsia" w:ascii="宋体" w:hAnsi="宋体"/>
          <w:sz w:val="24"/>
        </w:rPr>
      </w:pPr>
    </w:p>
    <w:p w14:paraId="0C6307D6">
      <w:pPr>
        <w:rPr>
          <w:rFonts w:hint="eastAsia" w:ascii="宋体" w:hAnsi="宋体"/>
          <w:sz w:val="24"/>
        </w:rPr>
      </w:pPr>
      <w:r>
        <w:rPr>
          <w:rFonts w:ascii="宋体" w:hAnsi="宋体"/>
          <w:sz w:val="24"/>
        </w:rPr>
        <w:t>致：</w:t>
      </w:r>
      <w:r>
        <w:rPr>
          <w:rFonts w:hint="eastAsia" w:ascii="宋体" w:hAnsi="宋体"/>
          <w:sz w:val="24"/>
          <w:u w:val="single"/>
        </w:rPr>
        <w:t>重庆国际复合材料股份有限公司</w:t>
      </w:r>
    </w:p>
    <w:p w14:paraId="243881D3">
      <w:pPr>
        <w:rPr>
          <w:rFonts w:hint="eastAsia" w:ascii="宋体" w:hAnsi="宋体"/>
          <w:sz w:val="24"/>
        </w:rPr>
      </w:pPr>
    </w:p>
    <w:p w14:paraId="0D687B79">
      <w:pPr>
        <w:pStyle w:val="36"/>
        <w:rPr>
          <w:rFonts w:hint="eastAsia"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rPr>
        <w:t>一</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01538532">
      <w:pPr>
        <w:pStyle w:val="36"/>
        <w:numPr>
          <w:ilvl w:val="0"/>
          <w:numId w:val="5"/>
        </w:numPr>
        <w:ind w:firstLineChars="0"/>
        <w:rPr>
          <w:rFonts w:hint="eastAsia" w:ascii="宋体" w:hAnsi="宋体"/>
          <w:color w:val="auto"/>
        </w:rPr>
      </w:pPr>
      <w:r>
        <w:rPr>
          <w:rFonts w:hint="eastAsia" w:ascii="宋体" w:hAnsi="宋体"/>
          <w:color w:val="auto"/>
        </w:rPr>
        <w:t>供应商</w:t>
      </w:r>
      <w:r>
        <w:rPr>
          <w:rFonts w:ascii="宋体" w:hAnsi="宋体"/>
          <w:color w:val="auto"/>
        </w:rPr>
        <w:t>基本情况表</w:t>
      </w:r>
    </w:p>
    <w:p w14:paraId="04190828">
      <w:pPr>
        <w:pStyle w:val="36"/>
        <w:numPr>
          <w:ilvl w:val="0"/>
          <w:numId w:val="5"/>
        </w:numPr>
        <w:ind w:firstLineChars="0"/>
        <w:rPr>
          <w:rFonts w:hint="eastAsia" w:ascii="宋体" w:hAnsi="宋体"/>
          <w:color w:val="auto"/>
        </w:rPr>
      </w:pPr>
      <w:r>
        <w:rPr>
          <w:rFonts w:hint="eastAsia" w:ascii="宋体" w:hAnsi="宋体"/>
          <w:color w:val="auto"/>
        </w:rPr>
        <w:t>供应商</w:t>
      </w:r>
      <w:r>
        <w:rPr>
          <w:rFonts w:ascii="宋体" w:hAnsi="宋体"/>
          <w:color w:val="auto"/>
        </w:rPr>
        <w:t>资格证明文件</w:t>
      </w:r>
    </w:p>
    <w:p w14:paraId="2FBF04CF">
      <w:pPr>
        <w:pStyle w:val="36"/>
        <w:numPr>
          <w:ilvl w:val="0"/>
          <w:numId w:val="5"/>
        </w:numPr>
        <w:ind w:firstLineChars="0"/>
        <w:rPr>
          <w:rFonts w:hint="eastAsia"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r>
        <w:rPr>
          <w:rFonts w:hint="eastAsia" w:ascii="宋体" w:hAnsi="宋体"/>
          <w:color w:val="auto"/>
        </w:rPr>
        <w:t xml:space="preserve">   </w:t>
      </w:r>
    </w:p>
    <w:p w14:paraId="5C407696">
      <w:pPr>
        <w:pStyle w:val="36"/>
        <w:tabs>
          <w:tab w:val="left" w:pos="780"/>
        </w:tabs>
        <w:ind w:firstLine="0" w:firstLineChars="0"/>
        <w:rPr>
          <w:rFonts w:hint="eastAsia"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09187E8B">
      <w:pPr>
        <w:pStyle w:val="36"/>
        <w:tabs>
          <w:tab w:val="left" w:pos="780"/>
        </w:tabs>
        <w:ind w:firstLineChars="0"/>
        <w:rPr>
          <w:rFonts w:hint="eastAsia" w:ascii="宋体" w:hAnsi="宋体"/>
          <w:color w:val="auto"/>
        </w:rPr>
      </w:pPr>
      <w:r>
        <w:rPr>
          <w:rFonts w:hint="eastAsia" w:ascii="宋体" w:hAnsi="宋体"/>
          <w:color w:val="auto"/>
        </w:rPr>
        <w:t>1、</w:t>
      </w:r>
      <w:r>
        <w:rPr>
          <w:rFonts w:ascii="宋体" w:hAnsi="宋体"/>
          <w:color w:val="auto"/>
        </w:rPr>
        <w:t>按谈判文件要求提交服务方案。</w:t>
      </w:r>
    </w:p>
    <w:p w14:paraId="5BDC88CF">
      <w:pPr>
        <w:pStyle w:val="36"/>
        <w:tabs>
          <w:tab w:val="left" w:pos="780"/>
        </w:tabs>
        <w:ind w:firstLineChars="0"/>
        <w:rPr>
          <w:rFonts w:hint="eastAsia"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4184FD9E">
      <w:pPr>
        <w:pStyle w:val="36"/>
        <w:numPr>
          <w:ilvl w:val="0"/>
          <w:numId w:val="6"/>
        </w:numPr>
        <w:tabs>
          <w:tab w:val="left" w:pos="780"/>
        </w:tabs>
        <w:ind w:firstLineChars="0"/>
        <w:rPr>
          <w:rFonts w:hint="eastAsia"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4DB25856">
      <w:pPr>
        <w:pStyle w:val="36"/>
        <w:tabs>
          <w:tab w:val="left" w:pos="780"/>
        </w:tabs>
        <w:ind w:firstLineChars="0"/>
        <w:rPr>
          <w:rFonts w:hint="eastAsia"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0EA8758E">
      <w:pPr>
        <w:pStyle w:val="36"/>
        <w:tabs>
          <w:tab w:val="left" w:pos="780"/>
        </w:tabs>
        <w:ind w:firstLineChars="0"/>
        <w:rPr>
          <w:rFonts w:hint="eastAsia"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222A50E8">
      <w:pPr>
        <w:pStyle w:val="36"/>
        <w:rPr>
          <w:rFonts w:hint="eastAsia"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71534CC7">
      <w:pPr>
        <w:pStyle w:val="36"/>
        <w:rPr>
          <w:rFonts w:hint="eastAsia"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6D85E7B7">
      <w:pPr>
        <w:pStyle w:val="36"/>
        <w:rPr>
          <w:rFonts w:hint="eastAsia" w:ascii="宋体" w:hAnsi="宋体"/>
          <w:color w:val="auto"/>
        </w:rPr>
      </w:pPr>
      <w:r>
        <w:rPr>
          <w:rFonts w:ascii="宋体" w:hAnsi="宋体"/>
          <w:color w:val="auto"/>
        </w:rPr>
        <w:t>电子邮件：</w:t>
      </w:r>
      <w:r>
        <w:rPr>
          <w:rFonts w:ascii="宋体" w:hAnsi="宋体"/>
          <w:color w:val="auto"/>
          <w:u w:val="single"/>
        </w:rPr>
        <w:t xml:space="preserve">                             </w:t>
      </w:r>
    </w:p>
    <w:p w14:paraId="2F6E4DCF">
      <w:pPr>
        <w:pStyle w:val="36"/>
        <w:spacing w:line="480" w:lineRule="auto"/>
        <w:ind w:firstLine="3120" w:firstLineChars="1300"/>
        <w:rPr>
          <w:rFonts w:hint="eastAsia" w:ascii="宋体" w:hAnsi="宋体"/>
          <w:color w:val="auto"/>
        </w:rPr>
      </w:pPr>
      <w:r>
        <w:rPr>
          <w:rFonts w:ascii="宋体" w:hAnsi="宋体"/>
          <w:color w:val="auto"/>
        </w:rPr>
        <w:t xml:space="preserve">授权代表签字：                         </w:t>
      </w:r>
    </w:p>
    <w:p w14:paraId="3F4BFE3A">
      <w:pPr>
        <w:pStyle w:val="36"/>
        <w:spacing w:line="480" w:lineRule="auto"/>
        <w:ind w:firstLine="3360" w:firstLineChars="1400"/>
        <w:rPr>
          <w:rFonts w:hint="eastAsia" w:ascii="宋体" w:hAnsi="宋体"/>
          <w:color w:val="auto"/>
        </w:rPr>
      </w:pPr>
      <w:r>
        <w:rPr>
          <w:rFonts w:ascii="宋体" w:hAnsi="宋体"/>
          <w:color w:val="auto"/>
        </w:rPr>
        <w:t>供应商名称：              （加盖公章）</w:t>
      </w:r>
    </w:p>
    <w:p w14:paraId="018D1568">
      <w:pPr>
        <w:pStyle w:val="36"/>
        <w:spacing w:line="480" w:lineRule="auto"/>
        <w:ind w:firstLine="6960" w:firstLineChars="2900"/>
        <w:rPr>
          <w:rFonts w:hint="eastAsia" w:ascii="宋体" w:hAnsi="宋体"/>
          <w:color w:val="auto"/>
        </w:rPr>
      </w:pPr>
      <w:r>
        <w:rPr>
          <w:rFonts w:ascii="宋体" w:hAnsi="宋体"/>
          <w:color w:val="auto"/>
        </w:rPr>
        <w:t>日期：</w:t>
      </w:r>
      <w:r>
        <w:rPr>
          <w:rFonts w:hint="eastAsia" w:ascii="宋体" w:hAnsi="宋体"/>
          <w:color w:val="auto"/>
        </w:rPr>
        <w:t xml:space="preserve">  </w:t>
      </w:r>
    </w:p>
    <w:p w14:paraId="7DD8BAFD">
      <w:pPr>
        <w:spacing w:line="480" w:lineRule="auto"/>
        <w:ind w:firstLine="7590" w:firstLineChars="2700"/>
        <w:rPr>
          <w:rFonts w:hint="eastAsia" w:ascii="宋体" w:hAnsi="宋体"/>
          <w:b/>
          <w:kern w:val="0"/>
          <w:sz w:val="28"/>
          <w:szCs w:val="28"/>
        </w:rPr>
      </w:pPr>
      <w:r>
        <w:rPr>
          <w:rFonts w:ascii="宋体" w:hAnsi="宋体"/>
          <w:b/>
          <w:kern w:val="0"/>
          <w:sz w:val="28"/>
          <w:szCs w:val="28"/>
        </w:rPr>
        <w:br w:type="page"/>
      </w:r>
    </w:p>
    <w:p w14:paraId="3D5B81E3">
      <w:pPr>
        <w:pStyle w:val="36"/>
        <w:spacing w:line="480" w:lineRule="auto"/>
        <w:ind w:firstLine="643"/>
        <w:jc w:val="center"/>
        <w:rPr>
          <w:rFonts w:hint="eastAsia"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0FED27CE">
      <w:pPr>
        <w:pStyle w:val="36"/>
        <w:spacing w:line="480" w:lineRule="auto"/>
        <w:ind w:firstLine="482"/>
        <w:jc w:val="center"/>
        <w:rPr>
          <w:rFonts w:hint="eastAsia" w:ascii="宋体" w:hAnsi="宋体"/>
          <w:b/>
          <w:color w:val="auto"/>
          <w:kern w:val="0"/>
        </w:rPr>
      </w:pPr>
    </w:p>
    <w:p w14:paraId="5A08B498">
      <w:pPr>
        <w:spacing w:line="480" w:lineRule="auto"/>
        <w:ind w:firstLine="480" w:firstLineChars="200"/>
        <w:jc w:val="left"/>
        <w:rPr>
          <w:rFonts w:hint="eastAsia" w:ascii="宋体" w:hAnsi="宋体"/>
          <w:sz w:val="24"/>
        </w:rPr>
      </w:pPr>
      <w:r>
        <w:rPr>
          <w:rFonts w:hint="eastAsia" w:ascii="宋体" w:hAnsi="宋体"/>
          <w:sz w:val="24"/>
        </w:rPr>
        <w:t>本授权书声明：注册于</w:t>
      </w:r>
      <w:r>
        <w:rPr>
          <w:rFonts w:ascii="宋体" w:hAnsi="宋体"/>
          <w:sz w:val="24"/>
          <w:u w:val="single"/>
        </w:rPr>
        <w:t xml:space="preserve">                     </w:t>
      </w:r>
      <w:r>
        <w:rPr>
          <w:rFonts w:hint="eastAsia" w:ascii="宋体" w:hAnsi="宋体"/>
          <w:sz w:val="24"/>
        </w:rPr>
        <w:t>（</w:t>
      </w:r>
      <w:r>
        <w:rPr>
          <w:rFonts w:hint="eastAsia" w:ascii="宋体" w:hAnsi="宋体"/>
          <w:i/>
          <w:sz w:val="24"/>
        </w:rPr>
        <w:t>供应商注册地址</w:t>
      </w:r>
      <w:r>
        <w:rPr>
          <w:rFonts w:hint="eastAsia" w:ascii="宋体" w:hAnsi="宋体"/>
          <w:sz w:val="24"/>
        </w:rPr>
        <w:t>）的（</w:t>
      </w:r>
      <w:r>
        <w:rPr>
          <w:rFonts w:hint="eastAsia" w:ascii="宋体" w:hAnsi="宋体"/>
          <w:i/>
          <w:sz w:val="24"/>
        </w:rPr>
        <w:t>供应商名称</w:t>
      </w:r>
      <w:r>
        <w:rPr>
          <w:rFonts w:hint="eastAsia" w:ascii="宋体" w:hAnsi="宋体"/>
          <w:sz w:val="24"/>
        </w:rPr>
        <w:t>）</w:t>
      </w:r>
      <w:r>
        <w:rPr>
          <w:rFonts w:ascii="宋体" w:hAnsi="宋体"/>
          <w:sz w:val="24"/>
          <w:u w:val="single"/>
        </w:rPr>
        <w:t xml:space="preserve">                       </w:t>
      </w:r>
      <w:r>
        <w:rPr>
          <w:rFonts w:hint="eastAsia" w:ascii="宋体" w:hAnsi="宋体"/>
          <w:sz w:val="24"/>
        </w:rPr>
        <w:t>的（</w:t>
      </w:r>
      <w:r>
        <w:rPr>
          <w:rFonts w:hint="eastAsia" w:ascii="宋体" w:hAnsi="宋体"/>
          <w:i/>
          <w:sz w:val="24"/>
        </w:rPr>
        <w:t>法定代表人姓名、职务</w:t>
      </w:r>
      <w:r>
        <w:rPr>
          <w:rFonts w:hint="eastAsia" w:ascii="宋体" w:hAnsi="宋体"/>
          <w:sz w:val="24"/>
        </w:rPr>
        <w:t>）</w:t>
      </w:r>
      <w:r>
        <w:rPr>
          <w:rFonts w:ascii="宋体" w:hAnsi="宋体"/>
          <w:sz w:val="24"/>
          <w:u w:val="single"/>
        </w:rPr>
        <w:t xml:space="preserve">         </w:t>
      </w:r>
      <w:r>
        <w:rPr>
          <w:rFonts w:hint="eastAsia" w:ascii="宋体" w:hAnsi="宋体"/>
          <w:sz w:val="24"/>
        </w:rPr>
        <w:t>授权 （</w:t>
      </w:r>
      <w:r>
        <w:rPr>
          <w:rFonts w:hint="eastAsia" w:ascii="宋体" w:hAnsi="宋体"/>
          <w:i/>
          <w:sz w:val="24"/>
        </w:rPr>
        <w:t>单位名称</w:t>
      </w:r>
      <w:r>
        <w:rPr>
          <w:rFonts w:hint="eastAsia" w:ascii="宋体" w:hAnsi="宋体"/>
          <w:sz w:val="24"/>
        </w:rPr>
        <w:t>）</w:t>
      </w:r>
      <w:r>
        <w:rPr>
          <w:rFonts w:ascii="宋体" w:hAnsi="宋体"/>
          <w:sz w:val="24"/>
          <w:u w:val="single"/>
        </w:rPr>
        <w:t xml:space="preserve">                           </w:t>
      </w:r>
      <w:r>
        <w:rPr>
          <w:rFonts w:hint="eastAsia" w:ascii="宋体" w:hAnsi="宋体"/>
          <w:sz w:val="24"/>
        </w:rPr>
        <w:t>的</w:t>
      </w:r>
      <w:r>
        <w:rPr>
          <w:rFonts w:ascii="宋体" w:hAnsi="宋体"/>
          <w:sz w:val="24"/>
          <w:u w:val="single"/>
        </w:rPr>
        <w:t xml:space="preserve">                      </w:t>
      </w:r>
      <w:r>
        <w:rPr>
          <w:rFonts w:hint="eastAsia" w:ascii="宋体" w:hAnsi="宋体"/>
          <w:sz w:val="24"/>
        </w:rPr>
        <w:t>（</w:t>
      </w:r>
      <w:r>
        <w:rPr>
          <w:rFonts w:hint="eastAsia" w:ascii="宋体" w:hAnsi="宋体"/>
          <w:i/>
          <w:sz w:val="24"/>
        </w:rPr>
        <w:t>被授权人的姓名、职务</w:t>
      </w:r>
      <w:r>
        <w:rPr>
          <w:rFonts w:hint="eastAsia" w:ascii="宋体" w:hAnsi="宋体"/>
          <w:sz w:val="24"/>
        </w:rPr>
        <w:t>）为</w:t>
      </w:r>
      <w:r>
        <w:rPr>
          <w:rFonts w:ascii="宋体" w:hAnsi="宋体"/>
          <w:sz w:val="24"/>
        </w:rPr>
        <w:t>(</w:t>
      </w:r>
      <w:r>
        <w:rPr>
          <w:rFonts w:hint="eastAsia" w:ascii="宋体" w:hAnsi="宋体"/>
          <w:i/>
          <w:sz w:val="24"/>
        </w:rPr>
        <w:t>供应商名称</w:t>
      </w:r>
      <w:r>
        <w:rPr>
          <w:rFonts w:hint="eastAsia" w:ascii="宋体" w:hAnsi="宋体"/>
          <w:sz w:val="24"/>
        </w:rPr>
        <w:t>）</w:t>
      </w:r>
      <w:r>
        <w:rPr>
          <w:rFonts w:ascii="宋体" w:hAnsi="宋体"/>
          <w:sz w:val="24"/>
          <w:u w:val="single"/>
        </w:rPr>
        <w:t xml:space="preserve">                           </w:t>
      </w:r>
      <w:r>
        <w:rPr>
          <w:rFonts w:hint="eastAsia" w:ascii="宋体" w:hAnsi="宋体"/>
          <w:sz w:val="24"/>
        </w:rPr>
        <w:t xml:space="preserve">的合法代理人，就 </w:t>
      </w:r>
      <w:r>
        <w:rPr>
          <w:rFonts w:hint="eastAsia" w:ascii="宋体" w:hAnsi="宋体"/>
          <w:kern w:val="0"/>
          <w:sz w:val="24"/>
          <w:u w:val="single"/>
        </w:rPr>
        <w:t xml:space="preserve">重庆国际复合材料股份有限公司                   </w:t>
      </w:r>
      <w:r>
        <w:rPr>
          <w:rFonts w:hint="eastAsia" w:ascii="宋体" w:hAnsi="宋体" w:cs="Arial"/>
          <w:sz w:val="24"/>
        </w:rPr>
        <w:t>项目的</w:t>
      </w:r>
      <w:r>
        <w:rPr>
          <w:rFonts w:hint="eastAsia" w:ascii="宋体" w:hAnsi="宋体"/>
          <w:sz w:val="24"/>
        </w:rPr>
        <w:t>竞争性谈判，以</w:t>
      </w:r>
      <w:r>
        <w:rPr>
          <w:rFonts w:ascii="宋体" w:hAnsi="宋体"/>
          <w:sz w:val="24"/>
          <w:u w:val="single"/>
        </w:rPr>
        <w:t xml:space="preserve">                           </w:t>
      </w:r>
      <w:r>
        <w:rPr>
          <w:rFonts w:hint="eastAsia" w:ascii="宋体" w:hAnsi="宋体"/>
          <w:sz w:val="24"/>
        </w:rPr>
        <w:t>（</w:t>
      </w:r>
      <w:r>
        <w:rPr>
          <w:rFonts w:hint="eastAsia" w:ascii="宋体" w:hAnsi="宋体"/>
          <w:i/>
          <w:sz w:val="24"/>
        </w:rPr>
        <w:t>供应商名称</w:t>
      </w:r>
      <w:r>
        <w:rPr>
          <w:rFonts w:hint="eastAsia" w:ascii="宋体" w:hAnsi="宋体"/>
          <w:sz w:val="24"/>
        </w:rPr>
        <w:t>）的名义处理一切与之有关的事务。被授权人无转委托权。</w:t>
      </w:r>
    </w:p>
    <w:p w14:paraId="2E5B008F">
      <w:pPr>
        <w:spacing w:line="480" w:lineRule="auto"/>
        <w:ind w:firstLine="480" w:firstLineChars="200"/>
        <w:rPr>
          <w:rFonts w:hint="eastAsia"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日签字生效。</w:t>
      </w:r>
    </w:p>
    <w:p w14:paraId="1536734B">
      <w:pPr>
        <w:spacing w:line="480" w:lineRule="auto"/>
        <w:rPr>
          <w:rFonts w:hint="eastAsia" w:ascii="宋体" w:hAnsi="宋体"/>
          <w:sz w:val="24"/>
        </w:rPr>
      </w:pPr>
    </w:p>
    <w:p w14:paraId="1CE37686">
      <w:pPr>
        <w:spacing w:line="480" w:lineRule="auto"/>
        <w:rPr>
          <w:rFonts w:hint="eastAsia" w:ascii="宋体" w:hAnsi="宋体"/>
          <w:sz w:val="24"/>
          <w:u w:val="single"/>
        </w:rPr>
      </w:pPr>
      <w:r>
        <w:rPr>
          <w:rFonts w:hint="eastAsia" w:ascii="宋体" w:hAnsi="宋体"/>
          <w:sz w:val="24"/>
        </w:rPr>
        <w:t>法定代表人签字：</w:t>
      </w:r>
      <w:r>
        <w:rPr>
          <w:rFonts w:hint="eastAsia" w:ascii="宋体" w:hAnsi="宋体"/>
          <w:sz w:val="24"/>
          <w:u w:val="single"/>
        </w:rPr>
        <w:t xml:space="preserve">                            </w:t>
      </w:r>
    </w:p>
    <w:p w14:paraId="2A132640">
      <w:pPr>
        <w:spacing w:line="480" w:lineRule="auto"/>
        <w:rPr>
          <w:rFonts w:hint="eastAsia" w:ascii="宋体" w:hAnsi="宋体"/>
          <w:sz w:val="24"/>
          <w:u w:val="single"/>
        </w:rPr>
      </w:pPr>
      <w:r>
        <w:rPr>
          <w:rFonts w:hint="eastAsia" w:ascii="宋体" w:hAnsi="宋体"/>
          <w:sz w:val="24"/>
        </w:rPr>
        <w:t>被授权人签字：</w:t>
      </w:r>
      <w:r>
        <w:rPr>
          <w:rFonts w:hint="eastAsia" w:ascii="宋体" w:hAnsi="宋体"/>
          <w:sz w:val="24"/>
          <w:u w:val="single"/>
        </w:rPr>
        <w:t xml:space="preserve">                              </w:t>
      </w:r>
    </w:p>
    <w:p w14:paraId="7A338B15">
      <w:pPr>
        <w:rPr>
          <w:rFonts w:hint="eastAsia" w:ascii="宋体" w:hAnsi="宋体"/>
        </w:rPr>
      </w:pPr>
    </w:p>
    <w:p w14:paraId="6ACA45E2">
      <w:pPr>
        <w:spacing w:line="360" w:lineRule="auto"/>
        <w:rPr>
          <w:rFonts w:hint="eastAsia"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（盖章）</w:t>
      </w:r>
    </w:p>
    <w:p w14:paraId="20AD7629">
      <w:pPr>
        <w:spacing w:line="360" w:lineRule="auto"/>
        <w:rPr>
          <w:rFonts w:hint="eastAsia" w:ascii="宋体" w:hAnsi="宋体"/>
          <w:sz w:val="24"/>
        </w:rPr>
      </w:pPr>
    </w:p>
    <w:p w14:paraId="6BB70DF1">
      <w:pPr>
        <w:spacing w:line="360" w:lineRule="auto"/>
        <w:rPr>
          <w:rFonts w:hint="eastAsia" w:ascii="宋体" w:hAnsi="宋体"/>
          <w:sz w:val="18"/>
          <w:szCs w:val="18"/>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sz w:val="24"/>
        </w:rPr>
        <w:t xml:space="preserve">日期：     年    月 </w:t>
      </w:r>
      <w:r>
        <w:rPr>
          <w:rFonts w:ascii="宋体" w:hAnsi="宋体"/>
          <w:sz w:val="24"/>
        </w:rPr>
        <w:t xml:space="preserve">   </w:t>
      </w:r>
      <w:r>
        <w:rPr>
          <w:rFonts w:hint="eastAsia" w:ascii="宋体" w:hAnsi="宋体"/>
          <w:sz w:val="24"/>
        </w:rPr>
        <w:t>日</w:t>
      </w:r>
    </w:p>
    <w:p w14:paraId="542ED035">
      <w:pPr>
        <w:widowControl/>
        <w:jc w:val="center"/>
        <w:rPr>
          <w:rFonts w:hint="eastAsia"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67D1A007">
      <w:pPr>
        <w:widowControl/>
        <w:jc w:val="center"/>
        <w:rPr>
          <w:rFonts w:hint="eastAsia" w:ascii="宋体" w:hAnsi="宋体"/>
          <w:sz w:val="24"/>
        </w:rPr>
      </w:pPr>
    </w:p>
    <w:p w14:paraId="392C68D8">
      <w:pPr>
        <w:pStyle w:val="36"/>
        <w:ind w:firstLine="0" w:firstLineChars="0"/>
        <w:rPr>
          <w:rFonts w:hint="eastAsia" w:ascii="宋体" w:hAnsi="宋体"/>
          <w:b/>
          <w:color w:val="auto"/>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25095FCC">
      <w:pPr>
        <w:pStyle w:val="36"/>
        <w:rPr>
          <w:rFonts w:hint="eastAsia"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4CE94831">
      <w:pPr>
        <w:pStyle w:val="36"/>
        <w:rPr>
          <w:rFonts w:hint="eastAsia"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4B1AA05B">
      <w:pPr>
        <w:pStyle w:val="36"/>
        <w:rPr>
          <w:rFonts w:hint="eastAsia" w:ascii="宋体" w:hAnsi="宋体"/>
          <w:color w:val="auto"/>
        </w:rPr>
      </w:pPr>
      <w:r>
        <w:rPr>
          <w:rFonts w:hint="eastAsia" w:ascii="宋体" w:hAnsi="宋体"/>
          <w:color w:val="auto"/>
        </w:rPr>
        <w:t>（3）</w:t>
      </w:r>
      <w:r>
        <w:rPr>
          <w:rFonts w:hint="eastAsia" w:cs="宋体"/>
          <w:color w:val="auto"/>
          <w:lang w:bidi="ar"/>
        </w:rPr>
        <w:t>建设行政主管部门颁发的有效的机电工程施工总承包三级及以上资质或建筑机电安装工程专业承包三级及以上资质证明材料</w:t>
      </w:r>
    </w:p>
    <w:p w14:paraId="5491C0B0">
      <w:pPr>
        <w:pStyle w:val="36"/>
        <w:rPr>
          <w:rFonts w:hint="eastAsia" w:ascii="宋体" w:hAnsi="宋体"/>
          <w:color w:val="auto"/>
        </w:rPr>
      </w:pPr>
      <w:r>
        <w:rPr>
          <w:rFonts w:hint="eastAsia" w:ascii="宋体" w:hAnsi="宋体"/>
          <w:color w:val="auto"/>
        </w:rPr>
        <w:t>（4）其他</w:t>
      </w:r>
      <w:r>
        <w:rPr>
          <w:rFonts w:ascii="宋体" w:hAnsi="宋体"/>
          <w:color w:val="auto"/>
        </w:rPr>
        <w:t>证明文件和材料</w:t>
      </w:r>
    </w:p>
    <w:p w14:paraId="1139E99D">
      <w:pPr>
        <w:tabs>
          <w:tab w:val="left" w:pos="3840"/>
          <w:tab w:val="left" w:pos="5300"/>
        </w:tabs>
        <w:autoSpaceDE w:val="0"/>
        <w:autoSpaceDN w:val="0"/>
        <w:adjustRightInd w:val="0"/>
        <w:snapToGrid w:val="0"/>
        <w:spacing w:line="360" w:lineRule="auto"/>
        <w:rPr>
          <w:rFonts w:hint="eastAsia" w:ascii="宋体" w:hAnsi="宋体" w:cs="宋体"/>
          <w:szCs w:val="21"/>
        </w:rPr>
      </w:pPr>
      <w:r>
        <w:rPr>
          <w:rFonts w:ascii="宋体" w:hAnsi="宋体"/>
          <w:sz w:val="24"/>
        </w:rPr>
        <w:br w:type="page"/>
      </w:r>
      <w:r>
        <w:rPr>
          <w:rFonts w:ascii="宋体" w:hAnsi="宋体" w:cs="宋体"/>
          <w:szCs w:val="21"/>
        </w:rPr>
        <w:t xml:space="preserve"> </w:t>
      </w:r>
    </w:p>
    <w:p w14:paraId="53A3BA0F">
      <w:pPr>
        <w:rPr>
          <w:rFonts w:hint="eastAsia" w:ascii="宋体" w:hAnsi="宋体"/>
          <w:sz w:val="24"/>
        </w:rPr>
      </w:pPr>
    </w:p>
    <w:p w14:paraId="16CFED22">
      <w:pPr>
        <w:rPr>
          <w:rFonts w:hint="eastAsia" w:ascii="宋体" w:hAnsi="宋体"/>
          <w:sz w:val="24"/>
        </w:rPr>
      </w:pPr>
    </w:p>
    <w:p w14:paraId="352E0BE0">
      <w:pPr>
        <w:widowControl/>
        <w:jc w:val="center"/>
        <w:rPr>
          <w:rFonts w:hint="eastAsia" w:ascii="宋体" w:hAnsi="宋体"/>
          <w:b/>
          <w:kern w:val="0"/>
          <w:sz w:val="32"/>
          <w:szCs w:val="28"/>
        </w:rPr>
      </w:pPr>
      <w:r>
        <w:rPr>
          <w:rFonts w:hint="eastAsia" w:ascii="宋体" w:hAnsi="宋体"/>
          <w:b/>
          <w:kern w:val="0"/>
          <w:sz w:val="32"/>
          <w:szCs w:val="28"/>
        </w:rPr>
        <w:t>附件4  报价函</w:t>
      </w:r>
    </w:p>
    <w:p w14:paraId="6B2EA211">
      <w:pPr>
        <w:widowControl/>
        <w:jc w:val="center"/>
        <w:rPr>
          <w:rFonts w:hint="eastAsia" w:ascii="宋体" w:hAnsi="宋体"/>
          <w:bCs/>
          <w:kern w:val="0"/>
          <w:sz w:val="28"/>
          <w:szCs w:val="28"/>
        </w:rPr>
      </w:pPr>
      <w:r>
        <w:rPr>
          <w:rFonts w:hint="eastAsia" w:ascii="宋体" w:hAnsi="宋体"/>
          <w:bCs/>
          <w:kern w:val="0"/>
          <w:sz w:val="28"/>
          <w:szCs w:val="28"/>
        </w:rPr>
        <w:t>格式自拟</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6736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9DB0AF">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9DB0AF">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F4491">
    <w:pPr>
      <w:pStyle w:val="12"/>
      <w:jc w:val="center"/>
      <w:rPr>
        <w:cap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91748">
                          <w:pPr>
                            <w:pStyle w:val="12"/>
                            <w:jc w:val="center"/>
                          </w:pPr>
                          <w:r>
                            <w:rPr>
                              <w:caps/>
                            </w:rPr>
                            <w:fldChar w:fldCharType="begin"/>
                          </w:r>
                          <w:r>
                            <w:rPr>
                              <w:caps/>
                            </w:rPr>
                            <w:instrText xml:space="preserve">PAGE   \* MERGEFORMAT</w:instrText>
                          </w:r>
                          <w:r>
                            <w:rPr>
                              <w:caps/>
                            </w:rPr>
                            <w:fldChar w:fldCharType="separate"/>
                          </w:r>
                          <w:r>
                            <w:rPr>
                              <w:caps/>
                              <w:lang w:val="zh-CN"/>
                            </w:rPr>
                            <w:t>18</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1391748">
                    <w:pPr>
                      <w:pStyle w:val="12"/>
                      <w:jc w:val="center"/>
                    </w:pPr>
                    <w:r>
                      <w:rPr>
                        <w:caps/>
                      </w:rPr>
                      <w:fldChar w:fldCharType="begin"/>
                    </w:r>
                    <w:r>
                      <w:rPr>
                        <w:caps/>
                      </w:rPr>
                      <w:instrText xml:space="preserve">PAGE   \* MERGEFORMAT</w:instrText>
                    </w:r>
                    <w:r>
                      <w:rPr>
                        <w:caps/>
                      </w:rPr>
                      <w:fldChar w:fldCharType="separate"/>
                    </w:r>
                    <w:r>
                      <w:rPr>
                        <w:caps/>
                        <w:lang w:val="zh-CN"/>
                      </w:rPr>
                      <w:t>18</w:t>
                    </w:r>
                    <w:r>
                      <w:rPr>
                        <w:caps/>
                      </w:rPr>
                      <w:fldChar w:fldCharType="end"/>
                    </w:r>
                  </w:p>
                </w:txbxContent>
              </v:textbox>
            </v:shape>
          </w:pict>
        </mc:Fallback>
      </mc:AlternateContent>
    </w:r>
  </w:p>
  <w:p w14:paraId="12B7DF2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37E13">
    <w:pPr>
      <w:pStyle w:val="13"/>
      <w:pBdr>
        <w:bottom w:val="thinThickMediumGap" w:color="auto" w:sz="18" w:space="1"/>
      </w:pBdr>
      <w:jc w:val="distribute"/>
      <w:rPr>
        <w:rFonts w:hint="eastAsia" w:ascii="宋体" w:hAnsi="宋体" w:cs="宋体"/>
        <w:b/>
      </w:rPr>
    </w:pPr>
  </w:p>
  <w:p w14:paraId="1C3EC291">
    <w:pPr>
      <w:pStyle w:val="13"/>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6ECBD">
    <w:pPr>
      <w:pStyle w:val="13"/>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8E35928"/>
    <w:multiLevelType w:val="multilevel"/>
    <w:tmpl w:val="28E35928"/>
    <w:lvl w:ilvl="0" w:tentative="0">
      <w:start w:val="1"/>
      <w:numFmt w:val="decimal"/>
      <w:lvlText w:val="%1."/>
      <w:lvlJc w:val="left"/>
      <w:pPr>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0F3FB62"/>
    <w:multiLevelType w:val="singleLevel"/>
    <w:tmpl w:val="70F3FB62"/>
    <w:lvl w:ilvl="0" w:tentative="0">
      <w:start w:val="1"/>
      <w:numFmt w:val="decimal"/>
      <w:suff w:val="nothing"/>
      <w:lvlText w:val="（%1）"/>
      <w:lvlJc w:val="left"/>
    </w:lvl>
  </w:abstractNum>
  <w:abstractNum w:abstractNumId="4">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7513807E"/>
    <w:multiLevelType w:val="singleLevel"/>
    <w:tmpl w:val="7513807E"/>
    <w:lvl w:ilvl="0" w:tentative="0">
      <w:start w:val="5"/>
      <w:numFmt w:val="decimal"/>
      <w:lvlText w:val="%1."/>
      <w:lvlJc w:val="left"/>
      <w:pPr>
        <w:tabs>
          <w:tab w:val="left" w:pos="312"/>
        </w:tabs>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kZjQwYWYwZDk3M2QyNTFmM2E0MGZhNjRmY2Q5ZjEifQ=="/>
  </w:docVars>
  <w:rsids>
    <w:rsidRoot w:val="00B81798"/>
    <w:rsid w:val="00004E16"/>
    <w:rsid w:val="00015732"/>
    <w:rsid w:val="0002731E"/>
    <w:rsid w:val="00033273"/>
    <w:rsid w:val="0003535A"/>
    <w:rsid w:val="000371A3"/>
    <w:rsid w:val="0004557B"/>
    <w:rsid w:val="00055099"/>
    <w:rsid w:val="0006349A"/>
    <w:rsid w:val="000639DA"/>
    <w:rsid w:val="00066327"/>
    <w:rsid w:val="00067A52"/>
    <w:rsid w:val="00074A9C"/>
    <w:rsid w:val="000A490D"/>
    <w:rsid w:val="000C313A"/>
    <w:rsid w:val="000C59FF"/>
    <w:rsid w:val="000D61D5"/>
    <w:rsid w:val="000E3867"/>
    <w:rsid w:val="000F21AA"/>
    <w:rsid w:val="000F4C42"/>
    <w:rsid w:val="000F6CBB"/>
    <w:rsid w:val="00101650"/>
    <w:rsid w:val="001246C1"/>
    <w:rsid w:val="00134003"/>
    <w:rsid w:val="0013507B"/>
    <w:rsid w:val="0015136C"/>
    <w:rsid w:val="001546C4"/>
    <w:rsid w:val="00170DD6"/>
    <w:rsid w:val="0017455F"/>
    <w:rsid w:val="00175CB8"/>
    <w:rsid w:val="00177354"/>
    <w:rsid w:val="00181091"/>
    <w:rsid w:val="00195024"/>
    <w:rsid w:val="001A7ABD"/>
    <w:rsid w:val="001C504A"/>
    <w:rsid w:val="001D263E"/>
    <w:rsid w:val="001E4C22"/>
    <w:rsid w:val="001E533A"/>
    <w:rsid w:val="001E7567"/>
    <w:rsid w:val="001E7E0D"/>
    <w:rsid w:val="001F306D"/>
    <w:rsid w:val="001F6D3B"/>
    <w:rsid w:val="001F75D1"/>
    <w:rsid w:val="0020213A"/>
    <w:rsid w:val="00235E47"/>
    <w:rsid w:val="00271875"/>
    <w:rsid w:val="002769D8"/>
    <w:rsid w:val="00277025"/>
    <w:rsid w:val="00277C8B"/>
    <w:rsid w:val="002A4E7C"/>
    <w:rsid w:val="002A74FC"/>
    <w:rsid w:val="002C7821"/>
    <w:rsid w:val="002F2EF8"/>
    <w:rsid w:val="00304C5C"/>
    <w:rsid w:val="003176E5"/>
    <w:rsid w:val="00320BF2"/>
    <w:rsid w:val="003315DC"/>
    <w:rsid w:val="00331BC5"/>
    <w:rsid w:val="00340F41"/>
    <w:rsid w:val="00347237"/>
    <w:rsid w:val="00352992"/>
    <w:rsid w:val="003551CB"/>
    <w:rsid w:val="00360D0D"/>
    <w:rsid w:val="00362B9C"/>
    <w:rsid w:val="00366930"/>
    <w:rsid w:val="00367BC3"/>
    <w:rsid w:val="00370CFF"/>
    <w:rsid w:val="0038741C"/>
    <w:rsid w:val="0039133D"/>
    <w:rsid w:val="00391ABF"/>
    <w:rsid w:val="003A0B07"/>
    <w:rsid w:val="003A4427"/>
    <w:rsid w:val="003B0DA4"/>
    <w:rsid w:val="003C19D4"/>
    <w:rsid w:val="003D3228"/>
    <w:rsid w:val="003E2337"/>
    <w:rsid w:val="003E76BD"/>
    <w:rsid w:val="003F1171"/>
    <w:rsid w:val="003F192C"/>
    <w:rsid w:val="003F450C"/>
    <w:rsid w:val="004027DD"/>
    <w:rsid w:val="00411C82"/>
    <w:rsid w:val="0041311F"/>
    <w:rsid w:val="00423578"/>
    <w:rsid w:val="00426EAE"/>
    <w:rsid w:val="00427796"/>
    <w:rsid w:val="00433CDB"/>
    <w:rsid w:val="0044405B"/>
    <w:rsid w:val="00444480"/>
    <w:rsid w:val="00445084"/>
    <w:rsid w:val="00465DC3"/>
    <w:rsid w:val="00491316"/>
    <w:rsid w:val="004972F9"/>
    <w:rsid w:val="004A2D7F"/>
    <w:rsid w:val="004A5B13"/>
    <w:rsid w:val="004B6BE1"/>
    <w:rsid w:val="004C1C65"/>
    <w:rsid w:val="004C4ED6"/>
    <w:rsid w:val="004C7FDE"/>
    <w:rsid w:val="004D0091"/>
    <w:rsid w:val="004D0768"/>
    <w:rsid w:val="004D0830"/>
    <w:rsid w:val="00506E72"/>
    <w:rsid w:val="00510B53"/>
    <w:rsid w:val="0051340F"/>
    <w:rsid w:val="005159F0"/>
    <w:rsid w:val="00530CFA"/>
    <w:rsid w:val="00535B40"/>
    <w:rsid w:val="005514A9"/>
    <w:rsid w:val="0055580E"/>
    <w:rsid w:val="0057232B"/>
    <w:rsid w:val="00583A3F"/>
    <w:rsid w:val="00596A5D"/>
    <w:rsid w:val="005B0268"/>
    <w:rsid w:val="005B2034"/>
    <w:rsid w:val="005B7EC1"/>
    <w:rsid w:val="005C3AD3"/>
    <w:rsid w:val="005C4D96"/>
    <w:rsid w:val="005D0926"/>
    <w:rsid w:val="00603AEC"/>
    <w:rsid w:val="00604D86"/>
    <w:rsid w:val="00606C97"/>
    <w:rsid w:val="00612724"/>
    <w:rsid w:val="00615E15"/>
    <w:rsid w:val="006227EA"/>
    <w:rsid w:val="00626687"/>
    <w:rsid w:val="006326A5"/>
    <w:rsid w:val="00637D7A"/>
    <w:rsid w:val="0064230F"/>
    <w:rsid w:val="00644C42"/>
    <w:rsid w:val="00650FCB"/>
    <w:rsid w:val="00653732"/>
    <w:rsid w:val="0065666B"/>
    <w:rsid w:val="0066245A"/>
    <w:rsid w:val="006773FE"/>
    <w:rsid w:val="006815A2"/>
    <w:rsid w:val="00685DC9"/>
    <w:rsid w:val="0069210D"/>
    <w:rsid w:val="00694020"/>
    <w:rsid w:val="00697B40"/>
    <w:rsid w:val="006A4D4C"/>
    <w:rsid w:val="006A7B92"/>
    <w:rsid w:val="006C2FE2"/>
    <w:rsid w:val="006C788A"/>
    <w:rsid w:val="006D2211"/>
    <w:rsid w:val="006D4807"/>
    <w:rsid w:val="006D7317"/>
    <w:rsid w:val="006E00BB"/>
    <w:rsid w:val="006F3081"/>
    <w:rsid w:val="00701695"/>
    <w:rsid w:val="007137B2"/>
    <w:rsid w:val="00715CBF"/>
    <w:rsid w:val="007162FA"/>
    <w:rsid w:val="00720504"/>
    <w:rsid w:val="00723322"/>
    <w:rsid w:val="00725E6F"/>
    <w:rsid w:val="007342EE"/>
    <w:rsid w:val="00746629"/>
    <w:rsid w:val="007476FE"/>
    <w:rsid w:val="0075602E"/>
    <w:rsid w:val="0077282B"/>
    <w:rsid w:val="00777B3C"/>
    <w:rsid w:val="00782682"/>
    <w:rsid w:val="007947C9"/>
    <w:rsid w:val="007A5E1D"/>
    <w:rsid w:val="007A78AF"/>
    <w:rsid w:val="007B43AD"/>
    <w:rsid w:val="007C1BCC"/>
    <w:rsid w:val="007C1BE1"/>
    <w:rsid w:val="007C31F3"/>
    <w:rsid w:val="007C3366"/>
    <w:rsid w:val="007C5D73"/>
    <w:rsid w:val="007D268D"/>
    <w:rsid w:val="007D718E"/>
    <w:rsid w:val="007E3DD6"/>
    <w:rsid w:val="007E42A8"/>
    <w:rsid w:val="007E6A1A"/>
    <w:rsid w:val="007F332C"/>
    <w:rsid w:val="007F65E0"/>
    <w:rsid w:val="008054DB"/>
    <w:rsid w:val="00810749"/>
    <w:rsid w:val="00812A2D"/>
    <w:rsid w:val="0081478C"/>
    <w:rsid w:val="008166DF"/>
    <w:rsid w:val="0082033A"/>
    <w:rsid w:val="008207B8"/>
    <w:rsid w:val="00842E90"/>
    <w:rsid w:val="0084485D"/>
    <w:rsid w:val="008507A2"/>
    <w:rsid w:val="0085369D"/>
    <w:rsid w:val="00861884"/>
    <w:rsid w:val="00861A8A"/>
    <w:rsid w:val="008629CC"/>
    <w:rsid w:val="00874726"/>
    <w:rsid w:val="00874D2E"/>
    <w:rsid w:val="008867B7"/>
    <w:rsid w:val="00886858"/>
    <w:rsid w:val="00891C43"/>
    <w:rsid w:val="00896A54"/>
    <w:rsid w:val="008B363D"/>
    <w:rsid w:val="008B550C"/>
    <w:rsid w:val="008D271A"/>
    <w:rsid w:val="008D4DED"/>
    <w:rsid w:val="008E41A1"/>
    <w:rsid w:val="008E78AD"/>
    <w:rsid w:val="00905809"/>
    <w:rsid w:val="00916B62"/>
    <w:rsid w:val="009175B4"/>
    <w:rsid w:val="00933197"/>
    <w:rsid w:val="00937BE3"/>
    <w:rsid w:val="00940631"/>
    <w:rsid w:val="00955DB0"/>
    <w:rsid w:val="00956A25"/>
    <w:rsid w:val="0098054D"/>
    <w:rsid w:val="00990130"/>
    <w:rsid w:val="009A1ED4"/>
    <w:rsid w:val="009A2CAE"/>
    <w:rsid w:val="009A7930"/>
    <w:rsid w:val="009D202F"/>
    <w:rsid w:val="009D4E69"/>
    <w:rsid w:val="009E1A97"/>
    <w:rsid w:val="009E2AED"/>
    <w:rsid w:val="009F2F18"/>
    <w:rsid w:val="009F5130"/>
    <w:rsid w:val="00A11B03"/>
    <w:rsid w:val="00A129FC"/>
    <w:rsid w:val="00A323FB"/>
    <w:rsid w:val="00A577A1"/>
    <w:rsid w:val="00A72AF6"/>
    <w:rsid w:val="00A77F92"/>
    <w:rsid w:val="00A84282"/>
    <w:rsid w:val="00A90A78"/>
    <w:rsid w:val="00AA0104"/>
    <w:rsid w:val="00AA1A50"/>
    <w:rsid w:val="00AA2C25"/>
    <w:rsid w:val="00AA5781"/>
    <w:rsid w:val="00AA6699"/>
    <w:rsid w:val="00AA6B15"/>
    <w:rsid w:val="00AA72B3"/>
    <w:rsid w:val="00AC3CA9"/>
    <w:rsid w:val="00AC484F"/>
    <w:rsid w:val="00AC5B2B"/>
    <w:rsid w:val="00AF07CF"/>
    <w:rsid w:val="00AF779C"/>
    <w:rsid w:val="00B00FFE"/>
    <w:rsid w:val="00B24BD3"/>
    <w:rsid w:val="00B27073"/>
    <w:rsid w:val="00B31B9C"/>
    <w:rsid w:val="00B476CE"/>
    <w:rsid w:val="00B52A59"/>
    <w:rsid w:val="00B605EC"/>
    <w:rsid w:val="00B7368B"/>
    <w:rsid w:val="00B80808"/>
    <w:rsid w:val="00B81798"/>
    <w:rsid w:val="00B836A3"/>
    <w:rsid w:val="00B927C3"/>
    <w:rsid w:val="00BA3B67"/>
    <w:rsid w:val="00BB26FC"/>
    <w:rsid w:val="00BB77EA"/>
    <w:rsid w:val="00BC0E0F"/>
    <w:rsid w:val="00BC1DCA"/>
    <w:rsid w:val="00BC4539"/>
    <w:rsid w:val="00BD2A03"/>
    <w:rsid w:val="00BE119F"/>
    <w:rsid w:val="00BF5E95"/>
    <w:rsid w:val="00BF72DF"/>
    <w:rsid w:val="00C07D6F"/>
    <w:rsid w:val="00C16606"/>
    <w:rsid w:val="00C16F96"/>
    <w:rsid w:val="00C30CB8"/>
    <w:rsid w:val="00C41126"/>
    <w:rsid w:val="00C516D1"/>
    <w:rsid w:val="00C55E84"/>
    <w:rsid w:val="00C60781"/>
    <w:rsid w:val="00C63D4D"/>
    <w:rsid w:val="00C70EB8"/>
    <w:rsid w:val="00C77A33"/>
    <w:rsid w:val="00C80953"/>
    <w:rsid w:val="00C8510F"/>
    <w:rsid w:val="00C8552C"/>
    <w:rsid w:val="00C9295E"/>
    <w:rsid w:val="00CA2115"/>
    <w:rsid w:val="00CA6278"/>
    <w:rsid w:val="00CC2A62"/>
    <w:rsid w:val="00CD536C"/>
    <w:rsid w:val="00CF2B7E"/>
    <w:rsid w:val="00CF44FD"/>
    <w:rsid w:val="00D275E6"/>
    <w:rsid w:val="00D3568B"/>
    <w:rsid w:val="00D51A17"/>
    <w:rsid w:val="00D64B0C"/>
    <w:rsid w:val="00D66967"/>
    <w:rsid w:val="00D73D8A"/>
    <w:rsid w:val="00D755A5"/>
    <w:rsid w:val="00D75A6B"/>
    <w:rsid w:val="00D7614C"/>
    <w:rsid w:val="00D76D3D"/>
    <w:rsid w:val="00D92C2E"/>
    <w:rsid w:val="00D937E7"/>
    <w:rsid w:val="00D93DD2"/>
    <w:rsid w:val="00D96DFF"/>
    <w:rsid w:val="00DA43C0"/>
    <w:rsid w:val="00DA5374"/>
    <w:rsid w:val="00DB01DA"/>
    <w:rsid w:val="00DB33AB"/>
    <w:rsid w:val="00DB5932"/>
    <w:rsid w:val="00DC5625"/>
    <w:rsid w:val="00DD0C00"/>
    <w:rsid w:val="00DD4646"/>
    <w:rsid w:val="00DD4B19"/>
    <w:rsid w:val="00DD77DD"/>
    <w:rsid w:val="00DF3A73"/>
    <w:rsid w:val="00DF6CFA"/>
    <w:rsid w:val="00E076D7"/>
    <w:rsid w:val="00E102CF"/>
    <w:rsid w:val="00E16E56"/>
    <w:rsid w:val="00E30B99"/>
    <w:rsid w:val="00E30D5A"/>
    <w:rsid w:val="00E32177"/>
    <w:rsid w:val="00E33296"/>
    <w:rsid w:val="00E34A35"/>
    <w:rsid w:val="00E35B98"/>
    <w:rsid w:val="00E37CF0"/>
    <w:rsid w:val="00E41F40"/>
    <w:rsid w:val="00E44038"/>
    <w:rsid w:val="00E47A64"/>
    <w:rsid w:val="00E62DA3"/>
    <w:rsid w:val="00E75715"/>
    <w:rsid w:val="00E75A90"/>
    <w:rsid w:val="00E962EC"/>
    <w:rsid w:val="00EB0056"/>
    <w:rsid w:val="00EB51BD"/>
    <w:rsid w:val="00EB662B"/>
    <w:rsid w:val="00ED5E43"/>
    <w:rsid w:val="00EE630B"/>
    <w:rsid w:val="00EF10F8"/>
    <w:rsid w:val="00EF4098"/>
    <w:rsid w:val="00F06F7B"/>
    <w:rsid w:val="00F14CB8"/>
    <w:rsid w:val="00F22B6F"/>
    <w:rsid w:val="00F3016B"/>
    <w:rsid w:val="00F33F0A"/>
    <w:rsid w:val="00F36E4B"/>
    <w:rsid w:val="00F42DFD"/>
    <w:rsid w:val="00F42E95"/>
    <w:rsid w:val="00F827C7"/>
    <w:rsid w:val="00F96FD9"/>
    <w:rsid w:val="00FA1BA8"/>
    <w:rsid w:val="00FA49D4"/>
    <w:rsid w:val="00FC5408"/>
    <w:rsid w:val="00FC64A5"/>
    <w:rsid w:val="00FD7184"/>
    <w:rsid w:val="00FE7CEB"/>
    <w:rsid w:val="0252552D"/>
    <w:rsid w:val="039F26C9"/>
    <w:rsid w:val="03AC4D68"/>
    <w:rsid w:val="07CF7529"/>
    <w:rsid w:val="07F33D53"/>
    <w:rsid w:val="08470CC8"/>
    <w:rsid w:val="099B5350"/>
    <w:rsid w:val="0AA3501D"/>
    <w:rsid w:val="0B8E5E80"/>
    <w:rsid w:val="0BAF6137"/>
    <w:rsid w:val="0C9D4FE4"/>
    <w:rsid w:val="10B85A49"/>
    <w:rsid w:val="11022000"/>
    <w:rsid w:val="11166965"/>
    <w:rsid w:val="11AD6919"/>
    <w:rsid w:val="131161CB"/>
    <w:rsid w:val="14962736"/>
    <w:rsid w:val="15EB2077"/>
    <w:rsid w:val="16506CFC"/>
    <w:rsid w:val="1B1D2ECC"/>
    <w:rsid w:val="1D5340D5"/>
    <w:rsid w:val="1D5B41AA"/>
    <w:rsid w:val="1E2F712F"/>
    <w:rsid w:val="1E6502D1"/>
    <w:rsid w:val="21592A0A"/>
    <w:rsid w:val="2605281B"/>
    <w:rsid w:val="29512B72"/>
    <w:rsid w:val="29D92176"/>
    <w:rsid w:val="2AF77747"/>
    <w:rsid w:val="2ED4259D"/>
    <w:rsid w:val="2EEB09AB"/>
    <w:rsid w:val="30014ABC"/>
    <w:rsid w:val="32CF7549"/>
    <w:rsid w:val="3307663B"/>
    <w:rsid w:val="33E330E5"/>
    <w:rsid w:val="364E146B"/>
    <w:rsid w:val="36C66A25"/>
    <w:rsid w:val="37782570"/>
    <w:rsid w:val="37A22B83"/>
    <w:rsid w:val="38BC27A6"/>
    <w:rsid w:val="3A06527E"/>
    <w:rsid w:val="3B753F05"/>
    <w:rsid w:val="3E111FAD"/>
    <w:rsid w:val="3E7346AA"/>
    <w:rsid w:val="3E7E68EE"/>
    <w:rsid w:val="438254A7"/>
    <w:rsid w:val="45002BF8"/>
    <w:rsid w:val="483408A5"/>
    <w:rsid w:val="4AE1509D"/>
    <w:rsid w:val="4E8D6C9B"/>
    <w:rsid w:val="4FAE474F"/>
    <w:rsid w:val="531540B7"/>
    <w:rsid w:val="56093F5F"/>
    <w:rsid w:val="57314EF4"/>
    <w:rsid w:val="5AE80094"/>
    <w:rsid w:val="5BC81896"/>
    <w:rsid w:val="604F627F"/>
    <w:rsid w:val="62560FBE"/>
    <w:rsid w:val="66EE541F"/>
    <w:rsid w:val="67114A94"/>
    <w:rsid w:val="698971FC"/>
    <w:rsid w:val="6B5C44B8"/>
    <w:rsid w:val="6BDC6C36"/>
    <w:rsid w:val="6EDA6DB9"/>
    <w:rsid w:val="6F4F078F"/>
    <w:rsid w:val="71D37C38"/>
    <w:rsid w:val="72030E1E"/>
    <w:rsid w:val="762A44F2"/>
    <w:rsid w:val="772B173D"/>
    <w:rsid w:val="789C1508"/>
    <w:rsid w:val="7BE158A4"/>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8"/>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3"/>
    <w:autoRedefine/>
    <w:qFormat/>
    <w:uiPriority w:val="0"/>
    <w:pPr>
      <w:spacing w:after="120"/>
    </w:pPr>
  </w:style>
  <w:style w:type="paragraph" w:styleId="6">
    <w:name w:val="List 3"/>
    <w:basedOn w:val="1"/>
    <w:qFormat/>
    <w:uiPriority w:val="0"/>
    <w:pPr>
      <w:ind w:left="1260" w:hanging="420"/>
    </w:pPr>
    <w:rPr>
      <w:szCs w:val="20"/>
    </w:rPr>
  </w:style>
  <w:style w:type="paragraph" w:styleId="7">
    <w:name w:val="annotation text"/>
    <w:basedOn w:val="1"/>
    <w:link w:val="29"/>
    <w:unhideWhenUsed/>
    <w:qFormat/>
    <w:uiPriority w:val="99"/>
    <w:pPr>
      <w:jc w:val="left"/>
    </w:pPr>
  </w:style>
  <w:style w:type="paragraph" w:styleId="8">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Date"/>
    <w:basedOn w:val="1"/>
    <w:next w:val="1"/>
    <w:link w:val="58"/>
    <w:semiHidden/>
    <w:unhideWhenUsed/>
    <w:qFormat/>
    <w:uiPriority w:val="99"/>
    <w:pPr>
      <w:ind w:left="100" w:leftChars="2500"/>
    </w:pPr>
  </w:style>
  <w:style w:type="paragraph" w:styleId="10">
    <w:name w:val="Body Text Indent 2"/>
    <w:basedOn w:val="1"/>
    <w:link w:val="31"/>
    <w:qFormat/>
    <w:uiPriority w:val="99"/>
    <w:pPr>
      <w:ind w:firstLine="480"/>
    </w:pPr>
    <w:rPr>
      <w:rFonts w:ascii="仿宋_GB2312" w:eastAsia="仿宋_GB2312"/>
      <w:sz w:val="24"/>
      <w:szCs w:val="20"/>
    </w:rPr>
  </w:style>
  <w:style w:type="paragraph" w:styleId="11">
    <w:name w:val="Balloon Text"/>
    <w:basedOn w:val="1"/>
    <w:link w:val="32"/>
    <w:unhideWhenUsed/>
    <w:qFormat/>
    <w:uiPriority w:val="99"/>
    <w:rPr>
      <w:sz w:val="18"/>
      <w:szCs w:val="18"/>
    </w:rPr>
  </w:style>
  <w:style w:type="paragraph" w:styleId="12">
    <w:name w:val="footer"/>
    <w:basedOn w:val="1"/>
    <w:link w:val="33"/>
    <w:unhideWhenUsed/>
    <w:qFormat/>
    <w:uiPriority w:val="99"/>
    <w:pPr>
      <w:tabs>
        <w:tab w:val="center" w:pos="4153"/>
        <w:tab w:val="right" w:pos="8306"/>
      </w:tabs>
      <w:snapToGrid w:val="0"/>
      <w:jc w:val="left"/>
    </w:pPr>
    <w:rPr>
      <w:sz w:val="18"/>
      <w:szCs w:val="18"/>
    </w:rPr>
  </w:style>
  <w:style w:type="paragraph" w:styleId="1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5">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7">
    <w:name w:val="Normal (Web)"/>
    <w:basedOn w:val="1"/>
    <w:unhideWhenUsed/>
    <w:qFormat/>
    <w:uiPriority w:val="0"/>
    <w:pPr>
      <w:spacing w:beforeAutospacing="1" w:afterAutospacing="1"/>
      <w:jc w:val="left"/>
    </w:pPr>
    <w:rPr>
      <w:kern w:val="0"/>
      <w:sz w:val="24"/>
    </w:rPr>
  </w:style>
  <w:style w:type="paragraph" w:styleId="18">
    <w:name w:val="annotation subject"/>
    <w:basedOn w:val="7"/>
    <w:next w:val="7"/>
    <w:link w:val="30"/>
    <w:unhideWhenUsed/>
    <w:qFormat/>
    <w:uiPriority w:val="99"/>
    <w:rPr>
      <w:b/>
      <w:bCs/>
    </w:rPr>
  </w:style>
  <w:style w:type="table" w:styleId="20">
    <w:name w:val="Table Grid"/>
    <w:basedOn w:val="1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unhideWhenUsed/>
    <w:qFormat/>
    <w:uiPriority w:val="99"/>
    <w:rPr>
      <w:color w:val="800080"/>
      <w:u w:val="single"/>
    </w:rPr>
  </w:style>
  <w:style w:type="character" w:styleId="23">
    <w:name w:val="Hyperlink"/>
    <w:basedOn w:val="21"/>
    <w:unhideWhenUsed/>
    <w:qFormat/>
    <w:uiPriority w:val="99"/>
    <w:rPr>
      <w:color w:val="0000FF"/>
      <w:u w:val="single"/>
    </w:rPr>
  </w:style>
  <w:style w:type="character" w:styleId="24">
    <w:name w:val="annotation reference"/>
    <w:basedOn w:val="21"/>
    <w:unhideWhenUsed/>
    <w:qFormat/>
    <w:uiPriority w:val="99"/>
    <w:rPr>
      <w:sz w:val="21"/>
      <w:szCs w:val="21"/>
    </w:rPr>
  </w:style>
  <w:style w:type="paragraph" w:customStyle="1" w:styleId="25">
    <w:name w:val="列出段落1"/>
    <w:basedOn w:val="1"/>
    <w:qFormat/>
    <w:uiPriority w:val="34"/>
    <w:pPr>
      <w:ind w:firstLine="420" w:firstLineChars="200"/>
    </w:pPr>
  </w:style>
  <w:style w:type="character" w:customStyle="1" w:styleId="26">
    <w:name w:val="标题 1 字符"/>
    <w:basedOn w:val="21"/>
    <w:link w:val="3"/>
    <w:qFormat/>
    <w:uiPriority w:val="0"/>
    <w:rPr>
      <w:rFonts w:ascii="Times New Roman" w:hAnsi="Times New Roman" w:eastAsia="宋体" w:cs="Times New Roman"/>
      <w:b/>
      <w:bCs/>
      <w:kern w:val="44"/>
      <w:sz w:val="44"/>
      <w:szCs w:val="44"/>
    </w:rPr>
  </w:style>
  <w:style w:type="character" w:customStyle="1" w:styleId="27">
    <w:name w:val="标题 2 字符"/>
    <w:basedOn w:val="21"/>
    <w:link w:val="4"/>
    <w:qFormat/>
    <w:uiPriority w:val="0"/>
    <w:rPr>
      <w:rFonts w:ascii="Arial" w:hAnsi="Arial" w:eastAsia="黑体" w:cs="Times New Roman"/>
      <w:b/>
      <w:bCs/>
      <w:sz w:val="32"/>
      <w:szCs w:val="32"/>
    </w:rPr>
  </w:style>
  <w:style w:type="character" w:customStyle="1" w:styleId="28">
    <w:name w:val="标题 3 字符"/>
    <w:basedOn w:val="21"/>
    <w:link w:val="5"/>
    <w:qFormat/>
    <w:uiPriority w:val="0"/>
    <w:rPr>
      <w:rFonts w:ascii="Times New Roman" w:hAnsi="Times New Roman" w:eastAsia="宋体" w:cs="Times New Roman"/>
      <w:b/>
      <w:bCs/>
      <w:sz w:val="32"/>
      <w:szCs w:val="32"/>
    </w:rPr>
  </w:style>
  <w:style w:type="character" w:customStyle="1" w:styleId="29">
    <w:name w:val="批注文字 字符"/>
    <w:basedOn w:val="21"/>
    <w:link w:val="7"/>
    <w:qFormat/>
    <w:uiPriority w:val="99"/>
    <w:rPr>
      <w:rFonts w:ascii="Times New Roman" w:hAnsi="Times New Roman" w:eastAsia="宋体" w:cs="Times New Roman"/>
      <w:szCs w:val="24"/>
    </w:rPr>
  </w:style>
  <w:style w:type="character" w:customStyle="1" w:styleId="30">
    <w:name w:val="批注主题 字符"/>
    <w:basedOn w:val="29"/>
    <w:link w:val="18"/>
    <w:qFormat/>
    <w:uiPriority w:val="99"/>
    <w:rPr>
      <w:rFonts w:ascii="Times New Roman" w:hAnsi="Times New Roman" w:eastAsia="宋体" w:cs="Times New Roman"/>
      <w:b/>
      <w:bCs/>
      <w:szCs w:val="24"/>
    </w:rPr>
  </w:style>
  <w:style w:type="character" w:customStyle="1" w:styleId="31">
    <w:name w:val="正文文本缩进 2 字符"/>
    <w:basedOn w:val="21"/>
    <w:link w:val="10"/>
    <w:autoRedefine/>
    <w:qFormat/>
    <w:uiPriority w:val="99"/>
    <w:rPr>
      <w:rFonts w:ascii="仿宋_GB2312" w:hAnsi="Times New Roman" w:eastAsia="仿宋_GB2312" w:cs="Times New Roman"/>
      <w:sz w:val="24"/>
      <w:szCs w:val="20"/>
    </w:rPr>
  </w:style>
  <w:style w:type="character" w:customStyle="1" w:styleId="32">
    <w:name w:val="批注框文本 字符"/>
    <w:basedOn w:val="21"/>
    <w:link w:val="11"/>
    <w:autoRedefine/>
    <w:qFormat/>
    <w:uiPriority w:val="99"/>
    <w:rPr>
      <w:rFonts w:ascii="Times New Roman" w:hAnsi="Times New Roman" w:eastAsia="宋体" w:cs="Times New Roman"/>
      <w:sz w:val="18"/>
      <w:szCs w:val="18"/>
    </w:rPr>
  </w:style>
  <w:style w:type="character" w:customStyle="1" w:styleId="33">
    <w:name w:val="页脚 字符"/>
    <w:basedOn w:val="21"/>
    <w:link w:val="12"/>
    <w:qFormat/>
    <w:uiPriority w:val="99"/>
    <w:rPr>
      <w:rFonts w:ascii="Times New Roman" w:hAnsi="Times New Roman" w:eastAsia="宋体" w:cs="Times New Roman"/>
      <w:sz w:val="18"/>
      <w:szCs w:val="18"/>
    </w:rPr>
  </w:style>
  <w:style w:type="character" w:customStyle="1" w:styleId="34">
    <w:name w:val="页眉 字符"/>
    <w:basedOn w:val="21"/>
    <w:link w:val="13"/>
    <w:autoRedefine/>
    <w:qFormat/>
    <w:uiPriority w:val="99"/>
    <w:rPr>
      <w:rFonts w:ascii="Times New Roman" w:hAnsi="Times New Roman" w:eastAsia="宋体" w:cs="Times New Roman"/>
      <w:sz w:val="18"/>
      <w:szCs w:val="18"/>
    </w:rPr>
  </w:style>
  <w:style w:type="paragraph" w:customStyle="1" w:styleId="35">
    <w:name w:val="样式2"/>
    <w:basedOn w:val="1"/>
    <w:qFormat/>
    <w:uiPriority w:val="0"/>
    <w:pPr>
      <w:adjustRightInd w:val="0"/>
      <w:spacing w:line="410" w:lineRule="atLeast"/>
      <w:textAlignment w:val="baseline"/>
    </w:pPr>
    <w:rPr>
      <w:kern w:val="0"/>
      <w:sz w:val="24"/>
      <w:szCs w:val="20"/>
    </w:rPr>
  </w:style>
  <w:style w:type="paragraph" w:customStyle="1" w:styleId="36">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7">
    <w:name w:val="样式8"/>
    <w:basedOn w:val="1"/>
    <w:autoRedefine/>
    <w:qFormat/>
    <w:uiPriority w:val="0"/>
    <w:pPr>
      <w:widowControl/>
      <w:spacing w:line="360" w:lineRule="auto"/>
      <w:ind w:firstLine="480" w:firstLineChars="200"/>
      <w:jc w:val="left"/>
    </w:pPr>
    <w:rPr>
      <w:rFonts w:ascii="Arial" w:hAnsi="宋体" w:cs="Arial"/>
      <w:sz w:val="24"/>
    </w:rPr>
  </w:style>
  <w:style w:type="paragraph" w:customStyle="1" w:styleId="38">
    <w:name w:val="无间隔1"/>
    <w:link w:val="56"/>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1">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4">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5">
    <w:name w:val="xl68"/>
    <w:basedOn w:val="1"/>
    <w:autoRedefine/>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6">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7">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xl71"/>
    <w:basedOn w:val="1"/>
    <w:autoRedefine/>
    <w:qFormat/>
    <w:uiPriority w:val="0"/>
    <w:pPr>
      <w:widowControl/>
      <w:spacing w:before="100" w:beforeAutospacing="1" w:after="100" w:afterAutospacing="1"/>
      <w:jc w:val="right"/>
    </w:pPr>
    <w:rPr>
      <w:rFonts w:ascii="宋体" w:hAnsi="宋体" w:cs="宋体"/>
      <w:kern w:val="0"/>
      <w:sz w:val="20"/>
      <w:szCs w:val="20"/>
    </w:rPr>
  </w:style>
  <w:style w:type="paragraph" w:customStyle="1" w:styleId="49">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0">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1">
    <w:name w:val="xl74"/>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2">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4">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5">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6">
    <w:name w:val="无间隔 Char"/>
    <w:basedOn w:val="21"/>
    <w:link w:val="38"/>
    <w:autoRedefine/>
    <w:qFormat/>
    <w:uiPriority w:val="1"/>
    <w:rPr>
      <w:rFonts w:ascii="Times New Roman" w:hAnsi="Times New Roman" w:eastAsia="宋体" w:cs="Times New Roman"/>
      <w:szCs w:val="24"/>
    </w:rPr>
  </w:style>
  <w:style w:type="paragraph" w:styleId="57">
    <w:name w:val="List Paragraph"/>
    <w:basedOn w:val="1"/>
    <w:autoRedefine/>
    <w:qFormat/>
    <w:uiPriority w:val="34"/>
    <w:pPr>
      <w:ind w:firstLine="420" w:firstLineChars="200"/>
    </w:pPr>
  </w:style>
  <w:style w:type="character" w:customStyle="1" w:styleId="58">
    <w:name w:val="日期 字符"/>
    <w:basedOn w:val="21"/>
    <w:link w:val="9"/>
    <w:autoRedefine/>
    <w:semiHidden/>
    <w:qFormat/>
    <w:uiPriority w:val="99"/>
    <w:rPr>
      <w:rFonts w:ascii="Times New Roman" w:hAnsi="Times New Roman" w:eastAsia="宋体" w:cs="Times New Roman"/>
      <w:szCs w:val="24"/>
    </w:rPr>
  </w:style>
  <w:style w:type="paragraph" w:customStyle="1" w:styleId="5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1">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2">
    <w:name w:val="3（条）正文标题"/>
    <w:basedOn w:val="1"/>
    <w:qFormat/>
    <w:uiPriority w:val="0"/>
    <w:pPr>
      <w:spacing w:line="360" w:lineRule="auto"/>
      <w:ind w:firstLine="562" w:firstLineChars="200"/>
    </w:pPr>
  </w:style>
  <w:style w:type="character" w:customStyle="1" w:styleId="63">
    <w:name w:val="正文文本 字符"/>
    <w:basedOn w:val="21"/>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2639FA-C4B1-47B2-AD88-9E5F01DF0E2F}">
  <ds:schemaRefs/>
</ds:datastoreItem>
</file>

<file path=docProps/app.xml><?xml version="1.0" encoding="utf-8"?>
<Properties xmlns="http://schemas.openxmlformats.org/officeDocument/2006/extended-properties" xmlns:vt="http://schemas.openxmlformats.org/officeDocument/2006/docPropsVTypes">
  <Template>Normal</Template>
  <Pages>23</Pages>
  <Words>13095</Words>
  <Characters>13934</Characters>
  <Lines>64</Lines>
  <Paragraphs>18</Paragraphs>
  <TotalTime>14</TotalTime>
  <ScaleCrop>false</ScaleCrop>
  <LinksUpToDate>false</LinksUpToDate>
  <CharactersWithSpaces>14673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2025-09-24T06:07:00Z</dcterms:created>
  <dc:creator>杨倩</dc:creator>
  <cp:lastModifiedBy>envy.</cp:lastModifiedBy>
  <dcterms:modified xsi:type="dcterms:W3CDTF">2025-12-29T09:00:29Z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1A2B88BDD99B4002A103C12A2BD01320_13</vt:lpwstr>
  </property>
  <property fmtid="{D5CDD505-2E9C-101B-9397-08002B2CF9AE}" pid="4" name="KSOTemplateDocerSaveRecord">
    <vt:lpwstr>eyJoZGlkIjoiMjIzODU5ZGRkYTVkODQ4NTI2Nzc3N2I3NjAyMGUzMTQiLCJ1c2VySWQiOiI0NTQ4MDg0MDgifQ==</vt:lpwstr>
  </property>
</Properties>
</file>